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0470D">
      <w:pPr>
        <w:bidi w:val="0"/>
        <w:ind w:left="0" w:leftChars="0" w:firstLine="0" w:firstLineChars="0"/>
        <w:jc w:val="center"/>
        <w:rPr>
          <w:rFonts w:hint="eastAsia"/>
          <w:b/>
          <w:bCs/>
          <w:sz w:val="32"/>
          <w:szCs w:val="32"/>
          <w:lang w:val="en-US" w:eastAsia="zh-CN"/>
        </w:rPr>
      </w:pPr>
      <w:r>
        <w:rPr>
          <w:rFonts w:hint="eastAsia"/>
          <w:b/>
          <w:bCs/>
          <w:sz w:val="32"/>
          <w:szCs w:val="32"/>
          <w:lang w:eastAsia="zh-CN"/>
        </w:rPr>
        <w:t>安庆汇辰科技有限公司</w:t>
      </w:r>
      <w:r>
        <w:rPr>
          <w:rFonts w:hint="eastAsia"/>
          <w:b/>
          <w:bCs/>
          <w:sz w:val="32"/>
          <w:szCs w:val="32"/>
          <w:lang w:val="en-US" w:eastAsia="zh-CN"/>
        </w:rPr>
        <w:t>年产5000吨锂电池电解液添加剂及年产50吨奈玛特韦原料药、150吨关键中间体建设项目</w:t>
      </w:r>
    </w:p>
    <w:p w14:paraId="1B01FC10">
      <w:pPr>
        <w:bidi w:val="0"/>
        <w:ind w:left="0" w:leftChars="0" w:firstLine="0" w:firstLineChars="0"/>
        <w:jc w:val="center"/>
        <w:rPr>
          <w:rFonts w:hint="eastAsia"/>
          <w:b/>
          <w:bCs/>
          <w:sz w:val="32"/>
          <w:szCs w:val="32"/>
        </w:rPr>
      </w:pPr>
      <w:r>
        <w:rPr>
          <w:rFonts w:hint="eastAsia"/>
          <w:b/>
          <w:bCs/>
          <w:sz w:val="32"/>
          <w:szCs w:val="32"/>
        </w:rPr>
        <w:t>非重大变动环境影响分析说明</w:t>
      </w:r>
    </w:p>
    <w:p w14:paraId="0ACDBA00">
      <w:pPr>
        <w:pStyle w:val="4"/>
        <w:bidi w:val="0"/>
        <w:rPr>
          <w:rFonts w:hint="eastAsia"/>
        </w:rPr>
      </w:pPr>
      <w:r>
        <w:rPr>
          <w:rFonts w:hint="eastAsia"/>
          <w:lang w:val="en-US" w:eastAsia="zh-CN"/>
        </w:rPr>
        <w:t>1</w:t>
      </w:r>
      <w:r>
        <w:rPr>
          <w:rFonts w:hint="eastAsia"/>
        </w:rPr>
        <w:t>变动情况</w:t>
      </w:r>
    </w:p>
    <w:p w14:paraId="35CF7479">
      <w:pPr>
        <w:pStyle w:val="5"/>
        <w:bidi w:val="0"/>
        <w:rPr>
          <w:rFonts w:hint="default"/>
          <w:lang w:val="en-US" w:eastAsia="zh-CN"/>
        </w:rPr>
      </w:pPr>
      <w:r>
        <w:rPr>
          <w:rFonts w:hint="eastAsia"/>
          <w:lang w:val="en-US" w:eastAsia="zh-CN"/>
        </w:rPr>
        <w:t>1.1环保手续、环评批复要求及落实情况</w:t>
      </w:r>
    </w:p>
    <w:p w14:paraId="6874E5A4">
      <w:pPr>
        <w:rPr>
          <w:rFonts w:hint="default" w:ascii="Times New Roman" w:hAnsi="Times New Roman" w:eastAsia="宋体" w:cs="宋体"/>
          <w:sz w:val="24"/>
          <w:szCs w:val="28"/>
          <w:lang w:val="en-US" w:eastAsia="zh-CN"/>
        </w:rPr>
      </w:pPr>
      <w:r>
        <w:rPr>
          <w:rFonts w:hint="eastAsia" w:ascii="Times New Roman" w:hAnsi="Times New Roman" w:eastAsia="宋体" w:cs="宋体"/>
          <w:sz w:val="24"/>
          <w:szCs w:val="28"/>
          <w:lang w:val="en-US" w:eastAsia="zh-CN"/>
        </w:rPr>
        <w:t>1、环保手续办理情况</w:t>
      </w:r>
    </w:p>
    <w:p w14:paraId="79A76DF8">
      <w:pPr>
        <w:keepNext w:val="0"/>
        <w:keepLines w:val="0"/>
        <w:widowControl/>
        <w:suppressLineNumbers w:val="0"/>
        <w:spacing w:before="0" w:beforeAutospacing="0" w:after="0" w:afterAutospacing="0" w:line="360" w:lineRule="auto"/>
        <w:ind w:left="0" w:right="0" w:firstLine="480" w:firstLineChars="200"/>
        <w:jc w:val="both"/>
        <w:rPr>
          <w:rFonts w:hint="default"/>
          <w:lang w:eastAsia="zh-CN"/>
        </w:rPr>
      </w:pPr>
      <w:r>
        <w:rPr>
          <w:rFonts w:hint="eastAsia"/>
          <w:lang w:eastAsia="zh-CN"/>
        </w:rPr>
        <w:t>安庆汇辰科技有限公司</w:t>
      </w:r>
      <w:r>
        <w:rPr>
          <w:rFonts w:hint="default"/>
        </w:rPr>
        <w:t>位于</w:t>
      </w:r>
      <w:r>
        <w:rPr>
          <w:rFonts w:hint="default" w:ascii="Times New Roman" w:hAnsi="Times New Roman" w:eastAsia="宋体" w:cs="Times New Roman"/>
          <w:snapToGrid/>
          <w:kern w:val="2"/>
          <w:sz w:val="24"/>
          <w:szCs w:val="24"/>
          <w:lang w:val="en-US" w:eastAsia="zh-CN" w:bidi="ar-SA"/>
        </w:rPr>
        <w:t>安庆高新技术产业开发区丁香路99号</w:t>
      </w:r>
      <w:r>
        <w:rPr>
          <w:rFonts w:hint="default"/>
        </w:rPr>
        <w:t>，</w:t>
      </w:r>
      <w:r>
        <w:rPr>
          <w:rFonts w:hint="eastAsia"/>
          <w:lang w:eastAsia="zh-CN"/>
        </w:rPr>
        <w:t>年产5000吨锂电池电解液添加剂及年产50吨奈玛特韦原料药、150吨关键中间体建设项目</w:t>
      </w:r>
      <w:r>
        <w:rPr>
          <w:rFonts w:hint="default"/>
        </w:rPr>
        <w:t>于20</w:t>
      </w:r>
      <w:r>
        <w:rPr>
          <w:rFonts w:hint="eastAsia"/>
          <w:lang w:val="en-US" w:eastAsia="zh-CN"/>
        </w:rPr>
        <w:t>22</w:t>
      </w:r>
      <w:r>
        <w:rPr>
          <w:rFonts w:hint="default"/>
        </w:rPr>
        <w:t>年</w:t>
      </w:r>
      <w:r>
        <w:rPr>
          <w:rFonts w:hint="default"/>
          <w:lang w:val="en-US" w:eastAsia="zh-CN"/>
        </w:rPr>
        <w:t>8</w:t>
      </w:r>
      <w:r>
        <w:rPr>
          <w:rFonts w:hint="default"/>
        </w:rPr>
        <w:t>月申办环评，并于202</w:t>
      </w:r>
      <w:r>
        <w:rPr>
          <w:rFonts w:hint="eastAsia"/>
          <w:lang w:val="en-US" w:eastAsia="zh-CN"/>
        </w:rPr>
        <w:t>2</w:t>
      </w:r>
      <w:r>
        <w:rPr>
          <w:rFonts w:hint="default"/>
        </w:rPr>
        <w:t>年</w:t>
      </w:r>
      <w:r>
        <w:rPr>
          <w:rFonts w:hint="eastAsia"/>
          <w:lang w:val="en-US" w:eastAsia="zh-CN"/>
        </w:rPr>
        <w:t>8</w:t>
      </w:r>
      <w:r>
        <w:rPr>
          <w:rFonts w:hint="default"/>
        </w:rPr>
        <w:t>月</w:t>
      </w:r>
      <w:r>
        <w:rPr>
          <w:rFonts w:hint="eastAsia"/>
          <w:lang w:val="en-US" w:eastAsia="zh-CN"/>
        </w:rPr>
        <w:t>2</w:t>
      </w:r>
      <w:r>
        <w:rPr>
          <w:rFonts w:hint="default"/>
        </w:rPr>
        <w:t>日获得</w:t>
      </w:r>
      <w:r>
        <w:rPr>
          <w:rFonts w:hint="default" w:ascii="Times New Roman" w:hAnsi="Times New Roman" w:eastAsia="宋体" w:cs="Times New Roman"/>
          <w:kern w:val="2"/>
          <w:sz w:val="24"/>
          <w:szCs w:val="24"/>
        </w:rPr>
        <w:t>安庆市生态环境局</w:t>
      </w:r>
      <w:r>
        <w:rPr>
          <w:rFonts w:hint="default"/>
        </w:rPr>
        <w:t>关于《</w:t>
      </w:r>
      <w:r>
        <w:rPr>
          <w:rFonts w:hint="eastAsia"/>
          <w:lang w:eastAsia="zh-CN"/>
        </w:rPr>
        <w:t>年产5000吨锂电池电解液添加剂及年产50吨奈玛特韦原料药、150吨关键中间体建设项目</w:t>
      </w:r>
      <w:r>
        <w:rPr>
          <w:rFonts w:hint="default"/>
        </w:rPr>
        <w:t>环境影响报告</w:t>
      </w:r>
      <w:r>
        <w:rPr>
          <w:rFonts w:hint="eastAsia"/>
          <w:lang w:val="en-US" w:eastAsia="zh-CN"/>
        </w:rPr>
        <w:t>书的批复</w:t>
      </w:r>
      <w:r>
        <w:rPr>
          <w:rFonts w:hint="default"/>
        </w:rPr>
        <w:t>》（</w:t>
      </w:r>
      <w:r>
        <w:rPr>
          <w:rFonts w:hint="default" w:ascii="Times New Roman" w:hAnsi="Times New Roman" w:eastAsia="宋体" w:cs="Times New Roman"/>
          <w:kern w:val="2"/>
          <w:sz w:val="24"/>
          <w:szCs w:val="24"/>
        </w:rPr>
        <w:t>宜环建函【2022】34号</w:t>
      </w:r>
      <w:r>
        <w:rPr>
          <w:rFonts w:hint="default"/>
        </w:rPr>
        <w:t>）</w:t>
      </w:r>
      <w:r>
        <w:rPr>
          <w:rFonts w:hint="default"/>
          <w:lang w:eastAsia="zh-CN"/>
        </w:rPr>
        <w:t>。</w:t>
      </w:r>
    </w:p>
    <w:p w14:paraId="591E0FDE">
      <w:pPr>
        <w:keepNext w:val="0"/>
        <w:keepLines w:val="0"/>
        <w:widowControl/>
        <w:suppressLineNumbers w:val="0"/>
        <w:spacing w:before="0" w:beforeAutospacing="0" w:after="0" w:afterAutospacing="0" w:line="360" w:lineRule="auto"/>
        <w:ind w:left="0" w:right="0" w:firstLine="480" w:firstLineChars="200"/>
        <w:jc w:val="both"/>
        <w:rPr>
          <w:rFonts w:hint="default"/>
          <w:lang w:val="en-US" w:eastAsia="zh-CN"/>
        </w:rPr>
      </w:pPr>
      <w:r>
        <w:rPr>
          <w:rFonts w:hint="eastAsia"/>
          <w:lang w:eastAsia="zh-CN"/>
        </w:rPr>
        <w:t>安庆汇辰科技有限公司</w:t>
      </w:r>
      <w:r>
        <w:rPr>
          <w:rFonts w:hint="default" w:ascii="Times New Roman" w:hAnsi="Times New Roman" w:cs="Times New Roman"/>
          <w:lang w:val="en-US" w:eastAsia="zh-CN"/>
        </w:rPr>
        <w:t>已于202</w:t>
      </w:r>
      <w:r>
        <w:rPr>
          <w:rFonts w:hint="eastAsia" w:cs="Times New Roman"/>
          <w:lang w:val="en-US" w:eastAsia="zh-CN"/>
        </w:rPr>
        <w:t>4</w:t>
      </w:r>
      <w:r>
        <w:rPr>
          <w:rFonts w:hint="default" w:ascii="Times New Roman" w:hAnsi="Times New Roman" w:cs="Times New Roman"/>
          <w:lang w:val="en-US" w:eastAsia="zh-CN"/>
        </w:rPr>
        <w:t>年</w:t>
      </w:r>
      <w:r>
        <w:rPr>
          <w:rFonts w:hint="eastAsia" w:cs="Times New Roman"/>
          <w:lang w:val="en-US" w:eastAsia="zh-CN"/>
        </w:rPr>
        <w:t>10</w:t>
      </w:r>
      <w:r>
        <w:rPr>
          <w:rFonts w:hint="default" w:ascii="Times New Roman" w:hAnsi="Times New Roman" w:cs="Times New Roman"/>
          <w:lang w:val="en-US" w:eastAsia="zh-CN"/>
        </w:rPr>
        <w:t>月</w:t>
      </w:r>
      <w:r>
        <w:rPr>
          <w:rFonts w:hint="eastAsia" w:cs="Times New Roman"/>
          <w:lang w:val="en-US" w:eastAsia="zh-CN"/>
        </w:rPr>
        <w:t>21申领了该项目的排污许可证</w:t>
      </w:r>
      <w:r>
        <w:rPr>
          <w:rFonts w:hint="default" w:ascii="Times New Roman" w:hAnsi="Times New Roman" w:eastAsia="宋体" w:cs="Times New Roman"/>
          <w:lang w:val="en-US" w:eastAsia="zh-CN"/>
        </w:rPr>
        <w:t>（</w:t>
      </w:r>
      <w:r>
        <w:rPr>
          <w:rFonts w:hint="default" w:ascii="Times New Roman" w:hAnsi="Times New Roman" w:eastAsia="宋体" w:cs="Times New Roman"/>
          <w:highlight w:val="none"/>
          <w:lang w:val="en-US" w:eastAsia="zh-CN"/>
        </w:rPr>
        <w:t>证书编号：91340805MA2U38E48C001Q</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w:t>
      </w:r>
    </w:p>
    <w:p w14:paraId="6F359652">
      <w:pPr>
        <w:keepNext w:val="0"/>
        <w:keepLines w:val="0"/>
        <w:widowControl/>
        <w:suppressLineNumbers w:val="0"/>
        <w:spacing w:before="0" w:beforeAutospacing="0" w:after="0" w:afterAutospacing="0" w:line="360" w:lineRule="auto"/>
        <w:ind w:left="0" w:right="0" w:firstLine="480" w:firstLineChars="200"/>
        <w:jc w:val="both"/>
        <w:rPr>
          <w:rFonts w:hint="default"/>
        </w:rPr>
      </w:pPr>
      <w:r>
        <w:rPr>
          <w:rFonts w:hint="default"/>
        </w:rPr>
        <w:t>202</w:t>
      </w:r>
      <w:r>
        <w:rPr>
          <w:rFonts w:hint="default"/>
          <w:lang w:val="en-US" w:eastAsia="zh-CN"/>
        </w:rPr>
        <w:t>3</w:t>
      </w:r>
      <w:r>
        <w:rPr>
          <w:rFonts w:hint="default"/>
        </w:rPr>
        <w:t>年</w:t>
      </w:r>
      <w:r>
        <w:rPr>
          <w:rFonts w:hint="default"/>
          <w:lang w:val="en-US" w:eastAsia="zh-CN"/>
        </w:rPr>
        <w:t>9</w:t>
      </w:r>
      <w:r>
        <w:rPr>
          <w:rFonts w:hint="default"/>
        </w:rPr>
        <w:t>月</w:t>
      </w:r>
      <w:r>
        <w:rPr>
          <w:rFonts w:hint="eastAsia"/>
          <w:lang w:eastAsia="zh-CN"/>
        </w:rPr>
        <w:t>安庆汇辰科技有限公司</w:t>
      </w:r>
      <w:r>
        <w:rPr>
          <w:rFonts w:hint="default"/>
        </w:rPr>
        <w:t>开始对</w:t>
      </w:r>
      <w:r>
        <w:rPr>
          <w:rFonts w:hint="eastAsia"/>
          <w:lang w:eastAsia="zh-CN"/>
        </w:rPr>
        <w:t>年产5000吨锂电池电解液添加剂及年产50吨奈玛特韦原料药、150吨关键中间体建设项目</w:t>
      </w:r>
      <w:r>
        <w:rPr>
          <w:rFonts w:hint="default"/>
        </w:rPr>
        <w:t>建设，工程于202</w:t>
      </w:r>
      <w:r>
        <w:rPr>
          <w:rFonts w:hint="eastAsia"/>
          <w:lang w:val="en-US" w:eastAsia="zh-CN"/>
        </w:rPr>
        <w:t>4</w:t>
      </w:r>
      <w:r>
        <w:rPr>
          <w:rFonts w:hint="default"/>
        </w:rPr>
        <w:t>年</w:t>
      </w:r>
      <w:r>
        <w:rPr>
          <w:rFonts w:hint="eastAsia"/>
          <w:lang w:val="en-US" w:eastAsia="zh-CN"/>
        </w:rPr>
        <w:t>5</w:t>
      </w:r>
      <w:r>
        <w:rPr>
          <w:rFonts w:hint="default"/>
        </w:rPr>
        <w:t>月</w:t>
      </w:r>
      <w:r>
        <w:rPr>
          <w:rFonts w:hint="eastAsia"/>
          <w:lang w:val="en-US" w:eastAsia="zh-CN"/>
        </w:rPr>
        <w:t>20</w:t>
      </w:r>
      <w:r>
        <w:rPr>
          <w:rFonts w:hint="default"/>
        </w:rPr>
        <w:t>日竣工，调试日期为202</w:t>
      </w:r>
      <w:r>
        <w:rPr>
          <w:rFonts w:hint="default"/>
          <w:lang w:val="en-US" w:eastAsia="zh-CN"/>
        </w:rPr>
        <w:t>4</w:t>
      </w:r>
      <w:r>
        <w:rPr>
          <w:rFonts w:hint="default"/>
        </w:rPr>
        <w:t>年</w:t>
      </w:r>
      <w:r>
        <w:rPr>
          <w:rFonts w:hint="default"/>
          <w:lang w:val="en-US" w:eastAsia="zh-CN"/>
        </w:rPr>
        <w:t>11</w:t>
      </w:r>
      <w:r>
        <w:rPr>
          <w:rFonts w:hint="default"/>
        </w:rPr>
        <w:t>月1</w:t>
      </w:r>
      <w:r>
        <w:rPr>
          <w:rFonts w:hint="default"/>
          <w:lang w:val="en-US" w:eastAsia="zh-CN"/>
        </w:rPr>
        <w:t>1</w:t>
      </w:r>
      <w:r>
        <w:rPr>
          <w:rFonts w:hint="default"/>
        </w:rPr>
        <w:t>日至</w:t>
      </w:r>
      <w:r>
        <w:rPr>
          <w:rFonts w:hint="default"/>
          <w:lang w:val="en-US" w:eastAsia="zh-CN"/>
        </w:rPr>
        <w:t>202</w:t>
      </w:r>
      <w:r>
        <w:rPr>
          <w:rFonts w:hint="eastAsia"/>
          <w:lang w:val="en-US" w:eastAsia="zh-CN"/>
        </w:rPr>
        <w:t>6</w:t>
      </w:r>
      <w:r>
        <w:rPr>
          <w:rFonts w:hint="default"/>
          <w:lang w:val="en-US" w:eastAsia="zh-CN"/>
        </w:rPr>
        <w:t>年</w:t>
      </w:r>
      <w:r>
        <w:rPr>
          <w:rFonts w:hint="eastAsia"/>
          <w:lang w:val="en-US" w:eastAsia="zh-CN"/>
        </w:rPr>
        <w:t>4</w:t>
      </w:r>
      <w:r>
        <w:rPr>
          <w:rFonts w:hint="default"/>
        </w:rPr>
        <w:t>月</w:t>
      </w:r>
      <w:r>
        <w:rPr>
          <w:rFonts w:hint="eastAsia"/>
          <w:lang w:val="en-US" w:eastAsia="zh-CN"/>
        </w:rPr>
        <w:t>26</w:t>
      </w:r>
      <w:r>
        <w:rPr>
          <w:rFonts w:hint="default"/>
        </w:rPr>
        <w:t>日。</w:t>
      </w:r>
    </w:p>
    <w:p w14:paraId="0D985C6C">
      <w:pPr>
        <w:keepNext w:val="0"/>
        <w:keepLines w:val="0"/>
        <w:widowControl/>
        <w:suppressLineNumbers w:val="0"/>
        <w:spacing w:before="0" w:beforeAutospacing="0" w:after="0" w:afterAutospacing="0" w:line="360" w:lineRule="auto"/>
        <w:ind w:left="0" w:right="0" w:firstLine="480" w:firstLineChars="200"/>
        <w:jc w:val="both"/>
        <w:rPr>
          <w:rFonts w:hint="default"/>
          <w:lang w:val="en-US" w:eastAsia="zh-CN"/>
        </w:rPr>
      </w:pPr>
      <w:r>
        <w:rPr>
          <w:rFonts w:hint="default" w:ascii="Times New Roman" w:hAnsi="Times New Roman" w:cs="Times New Roman"/>
          <w:highlight w:val="none"/>
          <w:lang w:eastAsia="zh-CN"/>
        </w:rPr>
        <w:t>安徽中品检测技术有限公司</w:t>
      </w:r>
      <w:r>
        <w:rPr>
          <w:rFonts w:hint="default" w:ascii="Times New Roman" w:hAnsi="Times New Roman" w:cs="Times New Roman"/>
          <w:highlight w:val="none"/>
        </w:rPr>
        <w:t>（CMA：</w:t>
      </w:r>
      <w:r>
        <w:rPr>
          <w:rFonts w:hint="default" w:ascii="Times New Roman" w:hAnsi="Times New Roman" w:cs="Times New Roman"/>
          <w:highlight w:val="none"/>
          <w:lang w:val="en-US" w:eastAsia="zh-CN"/>
        </w:rPr>
        <w:t>231212050767</w:t>
      </w:r>
      <w:r>
        <w:rPr>
          <w:rFonts w:hint="default" w:ascii="Times New Roman" w:hAnsi="Times New Roman" w:cs="Times New Roman"/>
          <w:highlight w:val="none"/>
        </w:rPr>
        <w:t>）</w:t>
      </w:r>
      <w:r>
        <w:rPr>
          <w:rFonts w:hint="default"/>
          <w:lang w:val="en-US" w:eastAsia="zh-CN"/>
        </w:rPr>
        <w:t>分别于</w:t>
      </w:r>
      <w:r>
        <w:rPr>
          <w:rFonts w:hint="eastAsia" w:ascii="Times New Roman" w:hAnsi="Times New Roman" w:eastAsia="宋体" w:cs="Times New Roman"/>
          <w:color w:val="auto"/>
          <w:szCs w:val="21"/>
          <w:lang w:val="en-US" w:eastAsia="zh-CN"/>
        </w:rPr>
        <w:t>2026年4月14日-4月17日</w:t>
      </w:r>
      <w:r>
        <w:rPr>
          <w:rFonts w:hint="default"/>
          <w:lang w:val="en-US" w:eastAsia="zh-CN"/>
        </w:rPr>
        <w:t>对项目的</w:t>
      </w:r>
      <w:r>
        <w:rPr>
          <w:rFonts w:hint="default" w:ascii="Times New Roman" w:hAnsi="Times New Roman" w:cs="Times New Roman"/>
        </w:rPr>
        <w:t>废气、</w:t>
      </w:r>
      <w:r>
        <w:rPr>
          <w:rFonts w:hint="default" w:ascii="Times New Roman" w:hAnsi="Times New Roman" w:cs="Times New Roman"/>
          <w:lang w:eastAsia="zh-CN"/>
        </w:rPr>
        <w:t>废水、</w:t>
      </w:r>
      <w:r>
        <w:rPr>
          <w:rFonts w:hint="default" w:ascii="Times New Roman" w:hAnsi="Times New Roman" w:cs="Times New Roman"/>
        </w:rPr>
        <w:t>噪声的现场检测。</w:t>
      </w:r>
    </w:p>
    <w:p w14:paraId="7EFAEE3B">
      <w:pPr>
        <w:rPr>
          <w:rFonts w:hint="eastAsia" w:ascii="Times New Roman" w:hAnsi="Times New Roman" w:eastAsia="宋体" w:cs="宋体"/>
          <w:sz w:val="24"/>
          <w:szCs w:val="28"/>
          <w:lang w:val="en-US" w:eastAsia="zh-CN"/>
        </w:rPr>
        <w:sectPr>
          <w:footerReference r:id="rId5" w:type="default"/>
          <w:pgSz w:w="11906" w:h="16838"/>
          <w:pgMar w:top="1440" w:right="1800" w:bottom="1440" w:left="1800" w:header="851" w:footer="992" w:gutter="0"/>
          <w:pgNumType w:fmt="decimal"/>
          <w:cols w:space="720" w:num="1"/>
          <w:docGrid w:type="lines" w:linePitch="312" w:charSpace="0"/>
        </w:sectPr>
      </w:pPr>
      <w:r>
        <w:rPr>
          <w:rFonts w:hint="eastAsia" w:ascii="Times New Roman" w:hAnsi="Times New Roman" w:eastAsia="宋体" w:cs="宋体"/>
          <w:sz w:val="24"/>
          <w:szCs w:val="28"/>
          <w:lang w:val="en-US" w:eastAsia="zh-CN"/>
        </w:rPr>
        <w:t>2、环评批复要求及落实情况</w:t>
      </w:r>
    </w:p>
    <w:p w14:paraId="09303249">
      <w:pPr>
        <w:pStyle w:val="21"/>
        <w:bidi w:val="0"/>
        <w:rPr>
          <w:rFonts w:hint="eastAsia"/>
          <w:lang w:val="en-US" w:eastAsia="zh-CN"/>
        </w:rPr>
      </w:pPr>
      <w:r>
        <w:rPr>
          <w:rFonts w:hint="eastAsia"/>
          <w:lang w:val="en-US" w:eastAsia="zh-CN"/>
        </w:rPr>
        <w:t>表1-1 本项目环评批复要求及落实情况一览表</w:t>
      </w:r>
    </w:p>
    <w:tbl>
      <w:tblPr>
        <w:tblStyle w:val="1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1561"/>
        <w:gridCol w:w="5469"/>
        <w:gridCol w:w="5200"/>
        <w:gridCol w:w="1176"/>
      </w:tblGrid>
      <w:tr w14:paraId="162AD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7" w:type="pct"/>
            <w:noWrap w:val="0"/>
            <w:vAlign w:val="center"/>
          </w:tcPr>
          <w:p w14:paraId="61C5D4B8">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类别</w:t>
            </w:r>
          </w:p>
        </w:tc>
        <w:tc>
          <w:tcPr>
            <w:tcW w:w="551" w:type="pct"/>
            <w:noWrap w:val="0"/>
            <w:vAlign w:val="center"/>
          </w:tcPr>
          <w:p w14:paraId="08DAD3BC">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内容</w:t>
            </w:r>
          </w:p>
        </w:tc>
        <w:tc>
          <w:tcPr>
            <w:tcW w:w="1930" w:type="pct"/>
            <w:noWrap w:val="0"/>
            <w:vAlign w:val="center"/>
          </w:tcPr>
          <w:p w14:paraId="4A5DAD25">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sz w:val="21"/>
                <w:szCs w:val="21"/>
                <w:lang w:val="en-US" w:eastAsia="zh-CN"/>
              </w:rPr>
              <w:t>环评</w:t>
            </w:r>
            <w:r>
              <w:rPr>
                <w:rFonts w:hint="default" w:ascii="Times New Roman" w:hAnsi="Times New Roman" w:eastAsia="宋体" w:cs="Times New Roman"/>
                <w:b w:val="0"/>
                <w:bCs/>
                <w:sz w:val="21"/>
                <w:szCs w:val="21"/>
                <w:lang w:eastAsia="zh-CN"/>
              </w:rPr>
              <w:t>建设</w:t>
            </w:r>
            <w:r>
              <w:rPr>
                <w:rFonts w:hint="default" w:ascii="Times New Roman" w:hAnsi="Times New Roman" w:eastAsia="宋体" w:cs="Times New Roman"/>
                <w:b w:val="0"/>
                <w:bCs/>
                <w:sz w:val="21"/>
                <w:szCs w:val="21"/>
              </w:rPr>
              <w:t>工程内容及规模</w:t>
            </w:r>
          </w:p>
        </w:tc>
        <w:tc>
          <w:tcPr>
            <w:tcW w:w="1835" w:type="pct"/>
            <w:noWrap w:val="0"/>
            <w:vAlign w:val="center"/>
          </w:tcPr>
          <w:p w14:paraId="0991F121">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sz w:val="21"/>
                <w:szCs w:val="21"/>
                <w:lang w:eastAsia="zh-CN"/>
              </w:rPr>
              <w:t>实际建设</w:t>
            </w:r>
            <w:r>
              <w:rPr>
                <w:rFonts w:hint="default" w:ascii="Times New Roman" w:hAnsi="Times New Roman" w:eastAsia="宋体" w:cs="Times New Roman"/>
                <w:b w:val="0"/>
                <w:bCs/>
                <w:sz w:val="21"/>
                <w:szCs w:val="21"/>
              </w:rPr>
              <w:t>工程内容及规模</w:t>
            </w:r>
          </w:p>
        </w:tc>
        <w:tc>
          <w:tcPr>
            <w:tcW w:w="415" w:type="pct"/>
            <w:noWrap w:val="0"/>
            <w:vAlign w:val="center"/>
          </w:tcPr>
          <w:p w14:paraId="5C8C344D">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eastAsia" w:ascii="Times New Roman" w:hAnsi="Times New Roman" w:eastAsia="宋体" w:cs="Times New Roman"/>
                <w:b w:val="0"/>
                <w:bCs/>
                <w:sz w:val="21"/>
                <w:szCs w:val="21"/>
                <w:lang w:val="en-US" w:eastAsia="zh-CN"/>
              </w:rPr>
              <w:t>备注</w:t>
            </w:r>
          </w:p>
        </w:tc>
      </w:tr>
      <w:tr w14:paraId="2688C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restart"/>
            <w:noWrap w:val="0"/>
            <w:vAlign w:val="center"/>
          </w:tcPr>
          <w:p w14:paraId="7C79FE12">
            <w:pPr>
              <w:widowControl w:val="0"/>
              <w:spacing w:line="240" w:lineRule="auto"/>
              <w:ind w:firstLine="0" w:firstLineChars="0"/>
              <w:jc w:val="center"/>
              <w:rPr>
                <w:rFonts w:hint="default" w:ascii="Times New Roman" w:hAnsi="Times New Roman" w:eastAsia="宋体" w:cs="Times New Roman"/>
                <w:b w:val="0"/>
                <w:bCs/>
                <w:kern w:val="2"/>
                <w:sz w:val="21"/>
                <w:szCs w:val="21"/>
                <w:lang w:eastAsia="zh-CN"/>
              </w:rPr>
            </w:pPr>
            <w:r>
              <w:rPr>
                <w:rFonts w:hint="default" w:ascii="Times New Roman" w:hAnsi="Times New Roman" w:eastAsia="宋体" w:cs="Times New Roman"/>
                <w:b w:val="0"/>
                <w:bCs/>
                <w:kern w:val="2"/>
                <w:sz w:val="21"/>
                <w:szCs w:val="21"/>
                <w:lang w:eastAsia="zh-CN"/>
              </w:rPr>
              <w:t>主体工程</w:t>
            </w:r>
          </w:p>
        </w:tc>
        <w:tc>
          <w:tcPr>
            <w:tcW w:w="551" w:type="pct"/>
            <w:noWrap w:val="0"/>
            <w:vAlign w:val="center"/>
          </w:tcPr>
          <w:p w14:paraId="4BB58CCD">
            <w:pPr>
              <w:widowControl w:val="0"/>
              <w:spacing w:line="240" w:lineRule="auto"/>
              <w:ind w:firstLine="0" w:firstLineChars="0"/>
              <w:jc w:val="center"/>
              <w:rPr>
                <w:rFonts w:hint="default" w:ascii="Times New Roman" w:hAnsi="Times New Roman" w:eastAsia="宋体" w:cs="Times New Roman"/>
                <w:b w:val="0"/>
                <w:bCs/>
                <w:color w:val="auto"/>
                <w:kern w:val="2"/>
                <w:sz w:val="21"/>
                <w:szCs w:val="21"/>
              </w:rPr>
            </w:pPr>
            <w:r>
              <w:rPr>
                <w:rFonts w:hint="default" w:ascii="Times New Roman" w:hAnsi="Times New Roman" w:eastAsia="宋体" w:cs="Times New Roman"/>
                <w:b w:val="0"/>
                <w:bCs/>
                <w:color w:val="auto"/>
                <w:kern w:val="2"/>
                <w:sz w:val="21"/>
                <w:szCs w:val="21"/>
              </w:rPr>
              <w:t>102车间</w:t>
            </w:r>
          </w:p>
          <w:p w14:paraId="213D6EFC">
            <w:pPr>
              <w:widowControl w:val="0"/>
              <w:spacing w:line="240" w:lineRule="auto"/>
              <w:ind w:firstLine="0" w:firstLineChars="0"/>
              <w:jc w:val="center"/>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rPr>
              <w:t>（甲类车间）</w:t>
            </w:r>
          </w:p>
        </w:tc>
        <w:tc>
          <w:tcPr>
            <w:tcW w:w="1930" w:type="pct"/>
            <w:noWrap w:val="0"/>
            <w:vAlign w:val="center"/>
          </w:tcPr>
          <w:p w14:paraId="2E7945AE">
            <w:pPr>
              <w:widowControl w:val="0"/>
              <w:spacing w:line="240" w:lineRule="auto"/>
              <w:ind w:firstLine="0" w:firstLineChars="0"/>
              <w:jc w:val="center"/>
              <w:rPr>
                <w:rFonts w:hint="default" w:ascii="Times New Roman" w:hAnsi="Times New Roman" w:eastAsia="宋体" w:cs="Times New Roman"/>
                <w:b w:val="0"/>
                <w:bCs/>
                <w:kern w:val="2"/>
                <w:sz w:val="21"/>
                <w:szCs w:val="21"/>
                <w:lang w:eastAsia="zh-CN"/>
              </w:rPr>
            </w:pPr>
            <w:r>
              <w:rPr>
                <w:rFonts w:hint="default" w:ascii="Times New Roman" w:hAnsi="Times New Roman" w:eastAsia="宋体" w:cs="Times New Roman"/>
                <w:b w:val="0"/>
                <w:bCs/>
                <w:kern w:val="2"/>
                <w:sz w:val="21"/>
                <w:szCs w:val="21"/>
                <w:lang w:eastAsia="zh-CN"/>
              </w:rPr>
              <w:t>（</w:t>
            </w:r>
            <w:r>
              <w:rPr>
                <w:rFonts w:hint="default" w:ascii="Times New Roman" w:hAnsi="Times New Roman" w:eastAsia="宋体" w:cs="Times New Roman"/>
                <w:b w:val="0"/>
                <w:bCs/>
                <w:kern w:val="2"/>
                <w:sz w:val="21"/>
                <w:szCs w:val="21"/>
                <w:lang w:val="en-US" w:eastAsia="zh-CN"/>
              </w:rPr>
              <w:t>1</w:t>
            </w:r>
            <w:r>
              <w:rPr>
                <w:rFonts w:hint="default" w:ascii="Times New Roman" w:hAnsi="Times New Roman" w:eastAsia="宋体" w:cs="Times New Roman"/>
                <w:b w:val="0"/>
                <w:bCs/>
                <w:kern w:val="2"/>
                <w:sz w:val="21"/>
                <w:szCs w:val="21"/>
                <w:lang w:eastAsia="zh-CN"/>
              </w:rPr>
              <w:t>）2F，占地面积1824.09m</w:t>
            </w:r>
            <w:r>
              <w:rPr>
                <w:rFonts w:hint="default" w:ascii="Times New Roman" w:hAnsi="Times New Roman" w:eastAsia="宋体" w:cs="Times New Roman"/>
                <w:b w:val="0"/>
                <w:bCs/>
                <w:kern w:val="2"/>
                <w:sz w:val="21"/>
                <w:szCs w:val="21"/>
                <w:vertAlign w:val="superscript"/>
                <w:lang w:eastAsia="zh-CN"/>
              </w:rPr>
              <w:t>2</w:t>
            </w:r>
            <w:r>
              <w:rPr>
                <w:rFonts w:hint="default" w:ascii="Times New Roman" w:hAnsi="Times New Roman" w:eastAsia="宋体" w:cs="Times New Roman"/>
                <w:b w:val="0"/>
                <w:bCs/>
                <w:kern w:val="2"/>
                <w:sz w:val="21"/>
                <w:szCs w:val="21"/>
                <w:lang w:eastAsia="zh-CN"/>
              </w:rPr>
              <w:t>，建筑面积2809.4m</w:t>
            </w:r>
            <w:r>
              <w:rPr>
                <w:rFonts w:hint="default" w:ascii="Times New Roman" w:hAnsi="Times New Roman" w:eastAsia="宋体" w:cs="Times New Roman"/>
                <w:b w:val="0"/>
                <w:bCs/>
                <w:kern w:val="2"/>
                <w:sz w:val="21"/>
                <w:szCs w:val="21"/>
                <w:vertAlign w:val="superscript"/>
                <w:lang w:eastAsia="zh-CN"/>
              </w:rPr>
              <w:t>2</w:t>
            </w:r>
            <w:r>
              <w:rPr>
                <w:rFonts w:hint="default" w:ascii="Times New Roman" w:hAnsi="Times New Roman" w:eastAsia="宋体" w:cs="Times New Roman"/>
                <w:b w:val="0"/>
                <w:bCs/>
                <w:kern w:val="2"/>
                <w:sz w:val="21"/>
                <w:szCs w:val="21"/>
                <w:lang w:eastAsia="zh-CN"/>
              </w:rPr>
              <w:t>。</w:t>
            </w:r>
          </w:p>
          <w:p w14:paraId="2DCB6272">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（2）工程内容：</w:t>
            </w:r>
          </w:p>
          <w:p w14:paraId="46BF8237">
            <w:pPr>
              <w:widowControl w:val="0"/>
              <w:spacing w:line="240" w:lineRule="auto"/>
              <w:ind w:firstLine="0" w:firstLineChars="0"/>
              <w:jc w:val="center"/>
              <w:rPr>
                <w:rFonts w:hint="default" w:ascii="Times New Roman" w:hAnsi="Times New Roman" w:eastAsia="宋体" w:cs="Times New Roman"/>
                <w:b w:val="0"/>
                <w:bCs/>
                <w:kern w:val="2"/>
                <w:sz w:val="21"/>
                <w:szCs w:val="21"/>
                <w:lang w:eastAsia="zh-CN"/>
              </w:rPr>
            </w:pPr>
            <w:r>
              <w:rPr>
                <w:rFonts w:hint="default" w:ascii="Times New Roman" w:hAnsi="Times New Roman" w:eastAsia="宋体" w:cs="Times New Roman"/>
                <w:b w:val="0"/>
                <w:bCs/>
                <w:color w:val="auto"/>
                <w:kern w:val="2"/>
                <w:sz w:val="21"/>
                <w:szCs w:val="21"/>
              </w:rPr>
              <w:t>①</w:t>
            </w:r>
            <w:r>
              <w:rPr>
                <w:rFonts w:hint="default" w:ascii="Times New Roman" w:hAnsi="Times New Roman" w:eastAsia="宋体" w:cs="Times New Roman"/>
                <w:b w:val="0"/>
                <w:bCs/>
                <w:color w:val="auto"/>
                <w:kern w:val="2"/>
                <w:sz w:val="21"/>
                <w:szCs w:val="21"/>
                <w:lang w:val="en-US" w:eastAsia="zh-CN"/>
              </w:rPr>
              <w:t>PD-M粗品</w:t>
            </w:r>
            <w:r>
              <w:rPr>
                <w:rFonts w:hint="default" w:ascii="Times New Roman" w:hAnsi="Times New Roman" w:eastAsia="宋体" w:cs="Times New Roman"/>
                <w:b w:val="0"/>
                <w:bCs/>
                <w:kern w:val="2"/>
                <w:sz w:val="21"/>
                <w:szCs w:val="21"/>
                <w:lang w:eastAsia="zh-CN"/>
              </w:rPr>
              <w:t>重结晶工序。</w:t>
            </w:r>
          </w:p>
          <w:p w14:paraId="53E2F559">
            <w:pPr>
              <w:widowControl w:val="0"/>
              <w:spacing w:line="240" w:lineRule="auto"/>
              <w:ind w:firstLine="0" w:firstLineChars="0"/>
              <w:jc w:val="center"/>
              <w:rPr>
                <w:rFonts w:hint="default" w:ascii="Times New Roman" w:hAnsi="Times New Roman" w:eastAsia="宋体" w:cs="Times New Roman"/>
                <w:b w:val="0"/>
                <w:bCs/>
                <w:color w:val="auto"/>
                <w:kern w:val="2"/>
                <w:sz w:val="21"/>
                <w:szCs w:val="21"/>
              </w:rPr>
            </w:pPr>
            <w:r>
              <w:rPr>
                <w:rFonts w:hint="default" w:ascii="Times New Roman" w:hAnsi="Times New Roman" w:eastAsia="宋体" w:cs="Times New Roman"/>
                <w:b w:val="0"/>
                <w:bCs/>
                <w:color w:val="auto"/>
                <w:kern w:val="2"/>
                <w:sz w:val="21"/>
                <w:szCs w:val="21"/>
                <w:lang w:eastAsia="zh-CN"/>
              </w:rPr>
              <w:t>（</w:t>
            </w:r>
            <w:r>
              <w:rPr>
                <w:rFonts w:hint="default" w:ascii="Times New Roman" w:hAnsi="Times New Roman" w:eastAsia="宋体" w:cs="Times New Roman"/>
                <w:b w:val="0"/>
                <w:bCs/>
                <w:color w:val="auto"/>
                <w:kern w:val="2"/>
                <w:sz w:val="21"/>
                <w:szCs w:val="21"/>
                <w:lang w:val="en-US" w:eastAsia="zh-CN"/>
              </w:rPr>
              <w:t>3</w:t>
            </w:r>
            <w:r>
              <w:rPr>
                <w:rFonts w:hint="default" w:ascii="Times New Roman" w:hAnsi="Times New Roman" w:eastAsia="宋体" w:cs="Times New Roman"/>
                <w:b w:val="0"/>
                <w:bCs/>
                <w:color w:val="auto"/>
                <w:kern w:val="2"/>
                <w:sz w:val="21"/>
                <w:szCs w:val="21"/>
                <w:lang w:eastAsia="zh-CN"/>
              </w:rPr>
              <w:t>）</w:t>
            </w:r>
            <w:r>
              <w:rPr>
                <w:rFonts w:hint="default" w:ascii="Times New Roman" w:hAnsi="Times New Roman" w:eastAsia="宋体" w:cs="Times New Roman"/>
                <w:b w:val="0"/>
                <w:bCs/>
                <w:color w:val="auto"/>
                <w:kern w:val="2"/>
                <w:sz w:val="21"/>
                <w:szCs w:val="21"/>
              </w:rPr>
              <w:t>主要设备类型：结晶釜、冷凝器、离心机、干燥机、过滤器、各类泵等。</w:t>
            </w:r>
          </w:p>
          <w:p w14:paraId="6AE9FD35">
            <w:pPr>
              <w:widowControl w:val="0"/>
              <w:adjustRightInd w:val="0"/>
              <w:snapToGrid w:val="0"/>
              <w:spacing w:line="300" w:lineRule="auto"/>
              <w:ind w:left="0" w:leftChars="0"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（4）洁净车间说明：102车间为洁净生产车间，为 D 级洁净度，属于 30 万级洁净车间，适用于原料药包装。</w:t>
            </w:r>
          </w:p>
        </w:tc>
        <w:tc>
          <w:tcPr>
            <w:tcW w:w="1835" w:type="pct"/>
            <w:noWrap w:val="0"/>
            <w:vAlign w:val="center"/>
          </w:tcPr>
          <w:p w14:paraId="138D2495">
            <w:pPr>
              <w:widowControl w:val="0"/>
              <w:adjustRightInd w:val="0"/>
              <w:snapToGrid w:val="0"/>
              <w:spacing w:line="300" w:lineRule="auto"/>
              <w:ind w:left="0" w:leftChars="0" w:firstLine="0" w:firstLineChars="0"/>
              <w:jc w:val="center"/>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未建设，本次验收不涉及</w:t>
            </w:r>
          </w:p>
        </w:tc>
        <w:tc>
          <w:tcPr>
            <w:tcW w:w="415" w:type="pct"/>
            <w:noWrap w:val="0"/>
            <w:vAlign w:val="center"/>
          </w:tcPr>
          <w:p w14:paraId="5EC4DEC3">
            <w:pPr>
              <w:widowControl w:val="0"/>
              <w:adjustRightInd w:val="0"/>
              <w:snapToGrid w:val="0"/>
              <w:spacing w:line="300" w:lineRule="auto"/>
              <w:ind w:left="0" w:leftChars="0" w:firstLine="0" w:firstLineChars="0"/>
              <w:jc w:val="center"/>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不涉及</w:t>
            </w:r>
          </w:p>
        </w:tc>
      </w:tr>
      <w:tr w14:paraId="7A4C3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56F4ECE1">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551" w:type="pct"/>
            <w:noWrap w:val="0"/>
            <w:vAlign w:val="center"/>
          </w:tcPr>
          <w:p w14:paraId="282C2C55">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103车间</w:t>
            </w:r>
          </w:p>
          <w:p w14:paraId="1CABFF4F">
            <w:pPr>
              <w:widowControl w:val="0"/>
              <w:spacing w:line="240" w:lineRule="auto"/>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kern w:val="2"/>
                <w:sz w:val="21"/>
                <w:szCs w:val="21"/>
              </w:rPr>
              <w:t>（甲类车间）</w:t>
            </w:r>
          </w:p>
        </w:tc>
        <w:tc>
          <w:tcPr>
            <w:tcW w:w="1930" w:type="pct"/>
            <w:noWrap w:val="0"/>
            <w:vAlign w:val="center"/>
          </w:tcPr>
          <w:p w14:paraId="4FABAC2F">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（1）4F，占地面积1815.61m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，建筑面积6219.62m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w:t>
            </w:r>
          </w:p>
          <w:p w14:paraId="7D49F295">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（2）工程内容：</w:t>
            </w:r>
          </w:p>
          <w:p w14:paraId="2B53E9EE">
            <w:pPr>
              <w:widowControl w:val="0"/>
              <w:spacing w:line="240" w:lineRule="auto"/>
              <w:ind w:firstLine="0" w:firstLineChars="0"/>
              <w:jc w:val="center"/>
              <w:rPr>
                <w:rFonts w:hint="default" w:ascii="Times New Roman" w:hAnsi="Times New Roman" w:eastAsia="宋体" w:cs="Times New Roman"/>
                <w:b w:val="0"/>
                <w:bCs/>
                <w:color w:val="auto"/>
                <w:kern w:val="2"/>
                <w:sz w:val="21"/>
                <w:szCs w:val="21"/>
                <w:lang w:val="en-US" w:eastAsia="zh-CN"/>
              </w:rPr>
            </w:pPr>
            <w:r>
              <w:rPr>
                <w:rFonts w:hint="default" w:ascii="Times New Roman" w:hAnsi="Times New Roman" w:eastAsia="宋体" w:cs="Times New Roman"/>
                <w:b w:val="0"/>
                <w:bCs/>
                <w:color w:val="auto"/>
                <w:kern w:val="2"/>
                <w:sz w:val="21"/>
                <w:szCs w:val="21"/>
              </w:rPr>
              <w:t>①</w:t>
            </w:r>
            <w:r>
              <w:rPr>
                <w:rFonts w:hint="default" w:ascii="Times New Roman" w:hAnsi="Times New Roman" w:eastAsia="宋体" w:cs="Times New Roman"/>
                <w:b w:val="0"/>
                <w:bCs/>
                <w:color w:val="auto"/>
                <w:kern w:val="2"/>
                <w:sz w:val="21"/>
                <w:szCs w:val="21"/>
                <w:lang w:val="en-US" w:eastAsia="zh-CN"/>
              </w:rPr>
              <w:t>PF-B-07生产全部工序</w:t>
            </w:r>
            <w:r>
              <w:rPr>
                <w:rFonts w:hint="default" w:ascii="Times New Roman" w:hAnsi="Times New Roman" w:eastAsia="宋体" w:cs="Times New Roman"/>
                <w:b w:val="0"/>
                <w:bCs/>
                <w:color w:val="auto"/>
                <w:kern w:val="2"/>
                <w:sz w:val="21"/>
                <w:szCs w:val="21"/>
              </w:rPr>
              <w:t>。</w:t>
            </w:r>
          </w:p>
          <w:p w14:paraId="6FF485F9">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r>
              <w:rPr>
                <w:rFonts w:hint="default" w:ascii="Times New Roman" w:hAnsi="Times New Roman" w:eastAsia="宋体" w:cs="Times New Roman"/>
                <w:b w:val="0"/>
                <w:bCs/>
                <w:color w:val="auto"/>
                <w:kern w:val="2"/>
                <w:sz w:val="21"/>
                <w:szCs w:val="21"/>
              </w:rPr>
              <w:t>②</w:t>
            </w:r>
            <w:r>
              <w:rPr>
                <w:rFonts w:hint="default" w:ascii="Times New Roman" w:hAnsi="Times New Roman" w:eastAsia="宋体" w:cs="Times New Roman"/>
                <w:b w:val="0"/>
                <w:bCs/>
                <w:color w:val="auto"/>
                <w:kern w:val="2"/>
                <w:sz w:val="21"/>
                <w:szCs w:val="21"/>
                <w:lang w:val="en-US" w:eastAsia="zh-CN"/>
              </w:rPr>
              <w:t>CP-W1001生产全部工序</w:t>
            </w:r>
            <w:r>
              <w:rPr>
                <w:rFonts w:hint="default" w:ascii="Times New Roman" w:hAnsi="Times New Roman" w:eastAsia="宋体" w:cs="Times New Roman"/>
                <w:b w:val="0"/>
                <w:bCs/>
                <w:color w:val="auto"/>
                <w:kern w:val="2"/>
                <w:sz w:val="21"/>
                <w:szCs w:val="21"/>
              </w:rPr>
              <w:t>。</w:t>
            </w:r>
          </w:p>
          <w:p w14:paraId="5D016AA4">
            <w:pPr>
              <w:widowControl w:val="0"/>
              <w:spacing w:line="240" w:lineRule="auto"/>
              <w:ind w:firstLine="0" w:firstLineChars="0"/>
              <w:jc w:val="center"/>
              <w:rPr>
                <w:rFonts w:hint="default" w:ascii="Times New Roman" w:hAnsi="Times New Roman" w:eastAsia="宋体" w:cs="Times New Roman"/>
                <w:b w:val="0"/>
                <w:bCs/>
                <w:color w:val="auto"/>
                <w:kern w:val="2"/>
                <w:sz w:val="21"/>
                <w:szCs w:val="21"/>
              </w:rPr>
            </w:pPr>
            <w:r>
              <w:rPr>
                <w:rFonts w:hint="default" w:ascii="Times New Roman" w:hAnsi="Times New Roman" w:eastAsia="宋体" w:cs="Times New Roman"/>
                <w:b w:val="0"/>
                <w:bCs/>
                <w:color w:val="auto"/>
                <w:kern w:val="2"/>
                <w:sz w:val="21"/>
                <w:szCs w:val="21"/>
              </w:rPr>
              <w:t>③</w:t>
            </w:r>
            <w:r>
              <w:rPr>
                <w:rFonts w:hint="default" w:ascii="Times New Roman" w:hAnsi="Times New Roman" w:eastAsia="宋体" w:cs="Times New Roman"/>
                <w:b w:val="0"/>
                <w:bCs/>
                <w:color w:val="auto"/>
                <w:kern w:val="2"/>
                <w:sz w:val="21"/>
                <w:szCs w:val="21"/>
                <w:lang w:val="en-US" w:eastAsia="zh-CN"/>
              </w:rPr>
              <w:t>PD-M粗品生产</w:t>
            </w:r>
            <w:r>
              <w:rPr>
                <w:rFonts w:hint="default" w:ascii="Times New Roman" w:hAnsi="Times New Roman" w:eastAsia="宋体" w:cs="Times New Roman"/>
                <w:b w:val="0"/>
                <w:bCs/>
                <w:color w:val="auto"/>
                <w:kern w:val="2"/>
                <w:sz w:val="21"/>
                <w:szCs w:val="21"/>
              </w:rPr>
              <w:t>工序。</w:t>
            </w:r>
          </w:p>
          <w:p w14:paraId="12CB8BE0">
            <w:pPr>
              <w:widowControl w:val="0"/>
              <w:numPr>
                <w:ilvl w:val="0"/>
                <w:numId w:val="0"/>
              </w:numPr>
              <w:spacing w:line="240" w:lineRule="auto"/>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kern w:val="2"/>
                <w:sz w:val="21"/>
                <w:szCs w:val="21"/>
                <w:lang w:val="en-US" w:eastAsia="zh-CN" w:bidi="ar-SA"/>
              </w:rPr>
              <w:t>（3）</w:t>
            </w:r>
            <w:r>
              <w:rPr>
                <w:rFonts w:hint="default" w:ascii="Times New Roman" w:hAnsi="Times New Roman" w:eastAsia="宋体" w:cs="Times New Roman"/>
                <w:b w:val="0"/>
                <w:bCs/>
                <w:kern w:val="2"/>
                <w:sz w:val="21"/>
                <w:szCs w:val="21"/>
              </w:rPr>
              <w:t>主要设备类型：反应釜、结晶釜、蒸馏釜、高位滴加罐、母液槽、输送泵、干燥机、离心机、气动隔膜泵、回收釜、分层罐、洗涤釜、计量罐、配料釜、降膜吸收塔、以及各类水泵、风机等。</w:t>
            </w:r>
          </w:p>
        </w:tc>
        <w:tc>
          <w:tcPr>
            <w:tcW w:w="1835" w:type="pct"/>
            <w:noWrap w:val="0"/>
            <w:vAlign w:val="center"/>
          </w:tcPr>
          <w:p w14:paraId="12329DB7">
            <w:pPr>
              <w:widowControl w:val="0"/>
              <w:numPr>
                <w:ilvl w:val="0"/>
                <w:numId w:val="0"/>
              </w:numPr>
              <w:spacing w:line="240" w:lineRule="auto"/>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color w:val="auto"/>
                <w:kern w:val="2"/>
                <w:sz w:val="21"/>
                <w:szCs w:val="21"/>
                <w:lang w:val="en-US" w:eastAsia="zh-CN" w:bidi="ar-SA"/>
              </w:rPr>
              <w:t>未建设，本次验收不涉及</w:t>
            </w:r>
          </w:p>
        </w:tc>
        <w:tc>
          <w:tcPr>
            <w:tcW w:w="415" w:type="pct"/>
            <w:noWrap w:val="0"/>
            <w:vAlign w:val="center"/>
          </w:tcPr>
          <w:p w14:paraId="1183567C">
            <w:pPr>
              <w:widowControl w:val="0"/>
              <w:numPr>
                <w:ilvl w:val="0"/>
                <w:numId w:val="0"/>
              </w:numPr>
              <w:spacing w:line="240" w:lineRule="auto"/>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color w:val="auto"/>
                <w:kern w:val="2"/>
                <w:sz w:val="21"/>
                <w:szCs w:val="21"/>
                <w:lang w:val="en-US" w:eastAsia="zh-CN" w:bidi="ar-SA"/>
              </w:rPr>
              <w:t>不涉及</w:t>
            </w:r>
          </w:p>
        </w:tc>
      </w:tr>
      <w:tr w14:paraId="67794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18B19804">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551" w:type="pct"/>
            <w:noWrap w:val="0"/>
            <w:vAlign w:val="center"/>
          </w:tcPr>
          <w:p w14:paraId="41D9A584">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104车间</w:t>
            </w:r>
          </w:p>
          <w:p w14:paraId="5E7FFD9A">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（甲类车间）</w:t>
            </w:r>
          </w:p>
        </w:tc>
        <w:tc>
          <w:tcPr>
            <w:tcW w:w="1930" w:type="pct"/>
            <w:noWrap w:val="0"/>
            <w:vAlign w:val="center"/>
          </w:tcPr>
          <w:p w14:paraId="6507E115">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（1）4F，占地面积1815.61m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，建筑面积6219.62m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w:t>
            </w:r>
          </w:p>
          <w:p w14:paraId="4B55CC96">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（2）工程内容：</w:t>
            </w:r>
          </w:p>
          <w:p w14:paraId="5767C08C">
            <w:pPr>
              <w:widowControl w:val="0"/>
              <w:spacing w:line="240" w:lineRule="auto"/>
              <w:ind w:firstLine="0" w:firstLineChars="0"/>
              <w:jc w:val="center"/>
              <w:rPr>
                <w:rFonts w:hint="default" w:ascii="Times New Roman" w:hAnsi="Times New Roman" w:eastAsia="宋体" w:cs="Times New Roman"/>
                <w:b w:val="0"/>
                <w:bCs/>
                <w:color w:val="auto"/>
                <w:kern w:val="2"/>
                <w:sz w:val="21"/>
                <w:szCs w:val="21"/>
              </w:rPr>
            </w:pPr>
            <w:r>
              <w:rPr>
                <w:rFonts w:hint="default" w:ascii="Times New Roman" w:hAnsi="Times New Roman" w:eastAsia="宋体" w:cs="Times New Roman"/>
                <w:b w:val="0"/>
                <w:bCs/>
                <w:color w:val="auto"/>
                <w:kern w:val="2"/>
                <w:sz w:val="21"/>
                <w:szCs w:val="21"/>
              </w:rPr>
              <w:t>①</w:t>
            </w:r>
            <w:r>
              <w:rPr>
                <w:rFonts w:hint="default" w:ascii="Times New Roman" w:hAnsi="Times New Roman" w:eastAsia="宋体" w:cs="Times New Roman"/>
                <w:b w:val="0"/>
                <w:bCs/>
                <w:color w:val="auto"/>
                <w:kern w:val="2"/>
                <w:sz w:val="21"/>
                <w:szCs w:val="21"/>
                <w:lang w:val="en-US" w:eastAsia="zh-CN"/>
              </w:rPr>
              <w:t>VC生产全部工序</w:t>
            </w:r>
            <w:r>
              <w:rPr>
                <w:rFonts w:hint="default" w:ascii="Times New Roman" w:hAnsi="Times New Roman" w:eastAsia="宋体" w:cs="Times New Roman"/>
                <w:b w:val="0"/>
                <w:bCs/>
                <w:color w:val="auto"/>
                <w:kern w:val="2"/>
                <w:sz w:val="21"/>
                <w:szCs w:val="21"/>
              </w:rPr>
              <w:t>。</w:t>
            </w:r>
          </w:p>
          <w:p w14:paraId="25CEE6A3">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r>
              <w:rPr>
                <w:rFonts w:hint="default" w:ascii="Times New Roman" w:hAnsi="Times New Roman" w:eastAsia="宋体" w:cs="Times New Roman"/>
                <w:b w:val="0"/>
                <w:bCs/>
                <w:color w:val="auto"/>
                <w:kern w:val="2"/>
                <w:sz w:val="21"/>
                <w:szCs w:val="21"/>
              </w:rPr>
              <w:t>②</w:t>
            </w:r>
            <w:r>
              <w:rPr>
                <w:rFonts w:hint="default" w:ascii="Times New Roman" w:hAnsi="Times New Roman" w:eastAsia="宋体" w:cs="Times New Roman"/>
                <w:b w:val="0"/>
                <w:bCs/>
                <w:color w:val="auto"/>
                <w:kern w:val="2"/>
                <w:sz w:val="21"/>
                <w:szCs w:val="21"/>
                <w:lang w:val="en-US" w:eastAsia="zh-CN"/>
              </w:rPr>
              <w:t>FEC精馏</w:t>
            </w:r>
            <w:r>
              <w:rPr>
                <w:rFonts w:hint="default" w:ascii="Times New Roman" w:hAnsi="Times New Roman" w:eastAsia="宋体" w:cs="Times New Roman"/>
                <w:b w:val="0"/>
                <w:bCs/>
                <w:color w:val="auto"/>
                <w:kern w:val="2"/>
                <w:sz w:val="21"/>
                <w:szCs w:val="21"/>
              </w:rPr>
              <w:t>工序、</w:t>
            </w:r>
            <w:r>
              <w:rPr>
                <w:rFonts w:hint="default" w:ascii="Times New Roman" w:hAnsi="Times New Roman" w:eastAsia="宋体" w:cs="Times New Roman"/>
                <w:b w:val="0"/>
                <w:bCs/>
                <w:color w:val="auto"/>
                <w:kern w:val="2"/>
                <w:sz w:val="21"/>
                <w:szCs w:val="21"/>
                <w:lang w:val="en-US" w:eastAsia="zh-CN"/>
              </w:rPr>
              <w:t>DFEC精馏</w:t>
            </w:r>
            <w:r>
              <w:rPr>
                <w:rFonts w:hint="default" w:ascii="Times New Roman" w:hAnsi="Times New Roman" w:eastAsia="宋体" w:cs="Times New Roman"/>
                <w:b w:val="0"/>
                <w:bCs/>
                <w:color w:val="auto"/>
                <w:kern w:val="2"/>
                <w:sz w:val="21"/>
                <w:szCs w:val="21"/>
              </w:rPr>
              <w:t>工序、</w:t>
            </w:r>
            <w:r>
              <w:rPr>
                <w:rFonts w:hint="default" w:ascii="Times New Roman" w:hAnsi="Times New Roman" w:eastAsia="宋体" w:cs="Times New Roman"/>
                <w:b w:val="0"/>
                <w:bCs/>
                <w:color w:val="auto"/>
                <w:kern w:val="2"/>
                <w:sz w:val="21"/>
                <w:szCs w:val="21"/>
                <w:lang w:val="en-US" w:eastAsia="zh-CN"/>
              </w:rPr>
              <w:t>DTD精馏</w:t>
            </w:r>
            <w:r>
              <w:rPr>
                <w:rFonts w:hint="default" w:ascii="Times New Roman" w:hAnsi="Times New Roman" w:eastAsia="宋体" w:cs="Times New Roman"/>
                <w:b w:val="0"/>
                <w:bCs/>
                <w:color w:val="auto"/>
                <w:kern w:val="2"/>
                <w:sz w:val="21"/>
                <w:szCs w:val="21"/>
              </w:rPr>
              <w:t>工序</w:t>
            </w:r>
            <w:r>
              <w:rPr>
                <w:rFonts w:hint="default" w:ascii="Times New Roman" w:hAnsi="Times New Roman" w:eastAsia="宋体" w:cs="Times New Roman"/>
                <w:b w:val="0"/>
                <w:bCs/>
                <w:color w:val="FF0000"/>
                <w:kern w:val="2"/>
                <w:sz w:val="21"/>
                <w:szCs w:val="21"/>
              </w:rPr>
              <w:t>。</w:t>
            </w:r>
          </w:p>
          <w:p w14:paraId="6EB6FB7D">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（3）主要设备类型：反应釜、结晶釜、蒸馏釜、高位滴加罐、母液槽、输送泵、干燥机、离心机、气动隔膜泵、回收釜、分层罐、洗涤釜、计量罐、配料釜、降膜吸收塔、以及各类水泵、风机等。</w:t>
            </w:r>
          </w:p>
        </w:tc>
        <w:tc>
          <w:tcPr>
            <w:tcW w:w="1835" w:type="pct"/>
            <w:noWrap w:val="0"/>
            <w:vAlign w:val="center"/>
          </w:tcPr>
          <w:p w14:paraId="7B75E18B">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（1）4F，占地面积1815.61m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，建筑面积6219.62m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w:t>
            </w:r>
          </w:p>
          <w:p w14:paraId="48B44F44">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（2）工程内容：</w:t>
            </w:r>
          </w:p>
          <w:p w14:paraId="3D5D48BF">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r>
              <w:rPr>
                <w:rFonts w:hint="default" w:ascii="Times New Roman" w:hAnsi="Times New Roman" w:eastAsia="宋体" w:cs="Times New Roman"/>
                <w:b w:val="0"/>
                <w:bCs/>
                <w:color w:val="auto"/>
                <w:kern w:val="2"/>
                <w:sz w:val="21"/>
                <w:szCs w:val="21"/>
              </w:rPr>
              <w:t>①</w:t>
            </w:r>
            <w:r>
              <w:rPr>
                <w:rFonts w:hint="default" w:ascii="Times New Roman" w:hAnsi="Times New Roman" w:eastAsia="宋体" w:cs="Times New Roman"/>
                <w:b w:val="0"/>
                <w:bCs/>
                <w:color w:val="auto"/>
                <w:kern w:val="2"/>
                <w:sz w:val="21"/>
                <w:szCs w:val="21"/>
                <w:lang w:val="en-US" w:eastAsia="zh-CN"/>
              </w:rPr>
              <w:t>VC生产全部工序</w:t>
            </w:r>
            <w:r>
              <w:rPr>
                <w:rFonts w:hint="default" w:ascii="Times New Roman" w:hAnsi="Times New Roman" w:eastAsia="宋体" w:cs="Times New Roman"/>
                <w:b w:val="0"/>
                <w:bCs/>
                <w:color w:val="auto"/>
                <w:kern w:val="2"/>
                <w:sz w:val="21"/>
                <w:szCs w:val="21"/>
              </w:rPr>
              <w:t>。</w:t>
            </w:r>
          </w:p>
          <w:p w14:paraId="2BDCC7AF">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（3）主要设备类型：反应釜、结晶釜、蒸馏釜、高位滴加罐、母液槽、输送泵、干燥机、离心机、气动隔膜泵、回收釜、分层罐、洗涤釜、计量罐、配料釜、降膜吸收塔、以及各类水泵、风机等。</w:t>
            </w:r>
          </w:p>
        </w:tc>
        <w:tc>
          <w:tcPr>
            <w:tcW w:w="415" w:type="pct"/>
            <w:noWrap w:val="0"/>
            <w:vAlign w:val="center"/>
          </w:tcPr>
          <w:p w14:paraId="2B4D76E1">
            <w:pPr>
              <w:widowControl w:val="0"/>
              <w:spacing w:line="240" w:lineRule="auto"/>
              <w:ind w:firstLine="0" w:firstLineChars="0"/>
              <w:jc w:val="center"/>
              <w:rPr>
                <w:rFonts w:hint="default" w:ascii="Times New Roman" w:hAnsi="Times New Roman" w:eastAsia="宋体" w:cs="Times New Roman"/>
                <w:b w:val="0"/>
                <w:bCs/>
                <w:kern w:val="2"/>
                <w:sz w:val="21"/>
                <w:szCs w:val="21"/>
                <w:lang w:val="en-US" w:eastAsia="zh-CN"/>
              </w:rPr>
            </w:pPr>
            <w:r>
              <w:rPr>
                <w:rFonts w:hint="default" w:ascii="Times New Roman" w:hAnsi="Times New Roman" w:eastAsia="宋体" w:cs="Times New Roman"/>
                <w:b w:val="0"/>
                <w:bCs/>
                <w:kern w:val="2"/>
                <w:sz w:val="21"/>
                <w:szCs w:val="21"/>
                <w:lang w:val="en-US" w:eastAsia="zh-CN"/>
              </w:rPr>
              <w:t>仅验收VC生产线，其余生产线</w:t>
            </w:r>
            <w:r>
              <w:rPr>
                <w:rFonts w:hint="default" w:ascii="Times New Roman" w:hAnsi="Times New Roman" w:eastAsia="宋体" w:cs="Times New Roman"/>
                <w:b w:val="0"/>
                <w:bCs/>
                <w:color w:val="auto"/>
                <w:kern w:val="2"/>
                <w:sz w:val="21"/>
                <w:szCs w:val="21"/>
                <w:lang w:val="en-US" w:eastAsia="zh-CN" w:bidi="ar-SA"/>
              </w:rPr>
              <w:t>未建设，本次验收不涉及。</w:t>
            </w:r>
          </w:p>
        </w:tc>
      </w:tr>
      <w:tr w14:paraId="158B9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restart"/>
            <w:noWrap w:val="0"/>
            <w:vAlign w:val="center"/>
          </w:tcPr>
          <w:p w14:paraId="78576BB1">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r>
              <w:rPr>
                <w:rFonts w:hint="default" w:ascii="Times New Roman" w:hAnsi="Times New Roman" w:eastAsia="宋体" w:cs="Times New Roman"/>
                <w:b w:val="0"/>
                <w:bCs/>
                <w:kern w:val="2"/>
                <w:sz w:val="21"/>
                <w:szCs w:val="21"/>
              </w:rPr>
              <w:t>辅助工程</w:t>
            </w:r>
          </w:p>
        </w:tc>
        <w:tc>
          <w:tcPr>
            <w:tcW w:w="551" w:type="pct"/>
            <w:noWrap w:val="0"/>
            <w:vAlign w:val="center"/>
          </w:tcPr>
          <w:p w14:paraId="156804FE">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办公楼</w:t>
            </w:r>
          </w:p>
        </w:tc>
        <w:tc>
          <w:tcPr>
            <w:tcW w:w="1930" w:type="pct"/>
            <w:noWrap w:val="0"/>
            <w:vAlign w:val="center"/>
          </w:tcPr>
          <w:p w14:paraId="0F7DADA9">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3F，占地面积857.44m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，建筑面积3160.08m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。办公。</w:t>
            </w:r>
          </w:p>
        </w:tc>
        <w:tc>
          <w:tcPr>
            <w:tcW w:w="1835" w:type="pct"/>
            <w:noWrap w:val="0"/>
            <w:vAlign w:val="center"/>
          </w:tcPr>
          <w:p w14:paraId="2728A8D6">
            <w:pPr>
              <w:widowControl w:val="0"/>
              <w:spacing w:line="240" w:lineRule="auto"/>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kern w:val="2"/>
                <w:sz w:val="21"/>
                <w:szCs w:val="21"/>
              </w:rPr>
              <w:t>3F，占地面积857.44m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，建筑面积3160.08m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。办公。</w:t>
            </w:r>
          </w:p>
        </w:tc>
        <w:tc>
          <w:tcPr>
            <w:tcW w:w="415" w:type="pct"/>
            <w:noWrap w:val="0"/>
            <w:vAlign w:val="center"/>
          </w:tcPr>
          <w:p w14:paraId="08773870">
            <w:pPr>
              <w:widowControl w:val="0"/>
              <w:spacing w:line="240" w:lineRule="auto"/>
              <w:ind w:firstLine="0" w:firstLineChars="0"/>
              <w:jc w:val="center"/>
              <w:rPr>
                <w:rFonts w:hint="default" w:ascii="Times New Roman" w:hAnsi="Times New Roman" w:eastAsia="宋体" w:cs="Times New Roman"/>
                <w:b w:val="0"/>
                <w:bCs/>
                <w:kern w:val="2"/>
                <w:sz w:val="21"/>
                <w:szCs w:val="21"/>
                <w:lang w:val="en-US" w:eastAsia="zh-CN"/>
              </w:rPr>
            </w:pPr>
            <w:r>
              <w:rPr>
                <w:rFonts w:hint="default" w:ascii="Times New Roman" w:hAnsi="Times New Roman" w:eastAsia="宋体" w:cs="Times New Roman"/>
                <w:b w:val="0"/>
                <w:bCs/>
                <w:kern w:val="2"/>
                <w:sz w:val="21"/>
                <w:szCs w:val="21"/>
                <w:lang w:val="en-US" w:eastAsia="zh-CN"/>
              </w:rPr>
              <w:t>一致</w:t>
            </w:r>
          </w:p>
        </w:tc>
      </w:tr>
      <w:tr w14:paraId="1D8B0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68DC93BB">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noWrap w:val="0"/>
            <w:vAlign w:val="center"/>
          </w:tcPr>
          <w:p w14:paraId="53722A3C">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质检楼</w:t>
            </w:r>
          </w:p>
        </w:tc>
        <w:tc>
          <w:tcPr>
            <w:tcW w:w="1930" w:type="pct"/>
            <w:noWrap w:val="0"/>
            <w:vAlign w:val="center"/>
          </w:tcPr>
          <w:p w14:paraId="19FC8E32">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4F，占地面积649.92m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，建筑面积2476.62m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。主要功能为试验、分析使用，以及产品的质量检验。兼顾研发人员办公使用。</w:t>
            </w:r>
          </w:p>
        </w:tc>
        <w:tc>
          <w:tcPr>
            <w:tcW w:w="1835" w:type="pct"/>
            <w:noWrap w:val="0"/>
            <w:vAlign w:val="center"/>
          </w:tcPr>
          <w:p w14:paraId="2F647F3D">
            <w:pPr>
              <w:widowControl w:val="0"/>
              <w:spacing w:line="240" w:lineRule="auto"/>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kern w:val="2"/>
                <w:sz w:val="21"/>
                <w:szCs w:val="21"/>
              </w:rPr>
              <w:t>4F，占地面积649.92m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，建筑面积2476.62m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。主要功能为试验、分析使用，以及产品的质量检验。兼顾研发人员办公使用。</w:t>
            </w:r>
          </w:p>
        </w:tc>
        <w:tc>
          <w:tcPr>
            <w:tcW w:w="415" w:type="pct"/>
            <w:noWrap w:val="0"/>
            <w:vAlign w:val="center"/>
          </w:tcPr>
          <w:p w14:paraId="17DFE8C9">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color w:val="auto"/>
                <w:kern w:val="2"/>
                <w:sz w:val="21"/>
                <w:szCs w:val="21"/>
                <w:highlight w:val="none"/>
                <w:lang w:val="en-US" w:eastAsia="zh-CN"/>
              </w:rPr>
              <w:t>一致</w:t>
            </w:r>
          </w:p>
        </w:tc>
      </w:tr>
      <w:tr w14:paraId="60F2B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0DA43EE9">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noWrap w:val="0"/>
            <w:vAlign w:val="center"/>
          </w:tcPr>
          <w:p w14:paraId="15C2E379">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综合楼</w:t>
            </w:r>
          </w:p>
        </w:tc>
        <w:tc>
          <w:tcPr>
            <w:tcW w:w="1930" w:type="pct"/>
            <w:noWrap w:val="0"/>
            <w:vAlign w:val="center"/>
          </w:tcPr>
          <w:p w14:paraId="5B530DBB">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4F，占地面积1202.67m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，建筑面积4224.6m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。办公、接待、会议等综合使用。</w:t>
            </w:r>
          </w:p>
        </w:tc>
        <w:tc>
          <w:tcPr>
            <w:tcW w:w="1835" w:type="pct"/>
            <w:noWrap w:val="0"/>
            <w:vAlign w:val="center"/>
          </w:tcPr>
          <w:p w14:paraId="1E25F862">
            <w:pPr>
              <w:widowControl w:val="0"/>
              <w:spacing w:line="240" w:lineRule="auto"/>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kern w:val="2"/>
                <w:sz w:val="21"/>
                <w:szCs w:val="21"/>
              </w:rPr>
              <w:t>4F，占地面积1202.67m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，建筑面积4224.6m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。办公、接待、会议等综合使用。</w:t>
            </w:r>
          </w:p>
        </w:tc>
        <w:tc>
          <w:tcPr>
            <w:tcW w:w="415" w:type="pct"/>
            <w:noWrap w:val="0"/>
            <w:vAlign w:val="center"/>
          </w:tcPr>
          <w:p w14:paraId="11507290">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2173F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0C24D5DB">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noWrap w:val="0"/>
            <w:vAlign w:val="center"/>
          </w:tcPr>
          <w:p w14:paraId="70064DA8">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公用工程楼一</w:t>
            </w:r>
          </w:p>
        </w:tc>
        <w:tc>
          <w:tcPr>
            <w:tcW w:w="1930" w:type="pct"/>
            <w:noWrap w:val="0"/>
            <w:vAlign w:val="center"/>
          </w:tcPr>
          <w:p w14:paraId="241C607D">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3F，占地面积1254.89m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，建筑面积3690.53m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。主要布置循环水池、冷浓装置、空压、氮气供应、导热油炉等动力系统。</w:t>
            </w:r>
          </w:p>
        </w:tc>
        <w:tc>
          <w:tcPr>
            <w:tcW w:w="1835" w:type="pct"/>
            <w:noWrap w:val="0"/>
            <w:vAlign w:val="center"/>
          </w:tcPr>
          <w:p w14:paraId="07A74D49">
            <w:pPr>
              <w:widowControl w:val="0"/>
              <w:spacing w:line="240" w:lineRule="auto"/>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kern w:val="2"/>
                <w:sz w:val="21"/>
                <w:szCs w:val="21"/>
              </w:rPr>
              <w:t>3F，占地面积1254.89m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，建筑面积3690.53m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。主要布置循环水池、冷浓装置、空压、氮气供应、导热油炉等动力系统。</w:t>
            </w:r>
          </w:p>
        </w:tc>
        <w:tc>
          <w:tcPr>
            <w:tcW w:w="415" w:type="pct"/>
            <w:noWrap w:val="0"/>
            <w:vAlign w:val="center"/>
          </w:tcPr>
          <w:p w14:paraId="4413FE31">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694D6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51BCC8C8">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noWrap w:val="0"/>
            <w:vAlign w:val="center"/>
          </w:tcPr>
          <w:p w14:paraId="5E8F3C2F">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公用工程楼二</w:t>
            </w:r>
          </w:p>
        </w:tc>
        <w:tc>
          <w:tcPr>
            <w:tcW w:w="1930" w:type="pct"/>
            <w:noWrap w:val="0"/>
            <w:vAlign w:val="center"/>
          </w:tcPr>
          <w:p w14:paraId="57AEC291">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3F，占地面积454.64m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，建筑面积1241.96m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。主要布置其它辅助设施等。</w:t>
            </w:r>
          </w:p>
        </w:tc>
        <w:tc>
          <w:tcPr>
            <w:tcW w:w="1835" w:type="pct"/>
            <w:noWrap w:val="0"/>
            <w:vAlign w:val="center"/>
          </w:tcPr>
          <w:p w14:paraId="6D6516A3">
            <w:pPr>
              <w:widowControl w:val="0"/>
              <w:spacing w:line="240" w:lineRule="auto"/>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kern w:val="2"/>
                <w:sz w:val="21"/>
                <w:szCs w:val="21"/>
              </w:rPr>
              <w:t>3F，占地面积454.64m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，建筑面积1241.96m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。主要布置其它辅助设施等。</w:t>
            </w:r>
          </w:p>
        </w:tc>
        <w:tc>
          <w:tcPr>
            <w:tcW w:w="415" w:type="pct"/>
            <w:noWrap w:val="0"/>
            <w:vAlign w:val="center"/>
          </w:tcPr>
          <w:p w14:paraId="42B4621A">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29AD3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6805EA1B">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noWrap w:val="0"/>
            <w:vAlign w:val="center"/>
          </w:tcPr>
          <w:p w14:paraId="2BB18160">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中央控制室</w:t>
            </w:r>
          </w:p>
        </w:tc>
        <w:tc>
          <w:tcPr>
            <w:tcW w:w="1930" w:type="pct"/>
            <w:noWrap w:val="0"/>
            <w:vAlign w:val="center"/>
          </w:tcPr>
          <w:p w14:paraId="5D7015A3">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2F，占地面积410.65m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，建筑面积804.31m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。主要布置中央控制系统。</w:t>
            </w:r>
          </w:p>
        </w:tc>
        <w:tc>
          <w:tcPr>
            <w:tcW w:w="1835" w:type="pct"/>
            <w:noWrap w:val="0"/>
            <w:vAlign w:val="center"/>
          </w:tcPr>
          <w:p w14:paraId="376B7300">
            <w:pPr>
              <w:widowControl w:val="0"/>
              <w:spacing w:line="240" w:lineRule="auto"/>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kern w:val="2"/>
                <w:sz w:val="21"/>
                <w:szCs w:val="21"/>
              </w:rPr>
              <w:t>2F，占地面积410.65m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，建筑面积804.31m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。主要布置中央控制系统。</w:t>
            </w:r>
          </w:p>
        </w:tc>
        <w:tc>
          <w:tcPr>
            <w:tcW w:w="415" w:type="pct"/>
            <w:noWrap w:val="0"/>
            <w:vAlign w:val="center"/>
          </w:tcPr>
          <w:p w14:paraId="15FBA803">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2940E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3A225D18">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noWrap w:val="0"/>
            <w:vAlign w:val="center"/>
          </w:tcPr>
          <w:p w14:paraId="6A62F350">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门卫</w:t>
            </w:r>
          </w:p>
        </w:tc>
        <w:tc>
          <w:tcPr>
            <w:tcW w:w="1930" w:type="pct"/>
            <w:noWrap w:val="0"/>
            <w:vAlign w:val="center"/>
          </w:tcPr>
          <w:p w14:paraId="1DEBB47A">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共设置3个门卫，人流、物流分开管理。</w:t>
            </w:r>
          </w:p>
        </w:tc>
        <w:tc>
          <w:tcPr>
            <w:tcW w:w="1835" w:type="pct"/>
            <w:noWrap w:val="0"/>
            <w:vAlign w:val="center"/>
          </w:tcPr>
          <w:p w14:paraId="3584DD46">
            <w:pPr>
              <w:widowControl w:val="0"/>
              <w:spacing w:line="240" w:lineRule="auto"/>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kern w:val="2"/>
                <w:sz w:val="21"/>
                <w:szCs w:val="21"/>
              </w:rPr>
              <w:t>共设置3个门卫，人流、物流分开管理。</w:t>
            </w:r>
          </w:p>
        </w:tc>
        <w:tc>
          <w:tcPr>
            <w:tcW w:w="415" w:type="pct"/>
            <w:noWrap w:val="0"/>
            <w:vAlign w:val="center"/>
          </w:tcPr>
          <w:p w14:paraId="1A8B1E3D">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3EF0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restart"/>
            <w:noWrap w:val="0"/>
            <w:vAlign w:val="center"/>
          </w:tcPr>
          <w:p w14:paraId="3940A612">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公用工程</w:t>
            </w:r>
          </w:p>
        </w:tc>
        <w:tc>
          <w:tcPr>
            <w:tcW w:w="551" w:type="pct"/>
            <w:noWrap w:val="0"/>
            <w:vAlign w:val="center"/>
          </w:tcPr>
          <w:p w14:paraId="0412170D">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给水工程</w:t>
            </w:r>
          </w:p>
        </w:tc>
        <w:tc>
          <w:tcPr>
            <w:tcW w:w="1930" w:type="pct"/>
            <w:noWrap w:val="0"/>
            <w:vAlign w:val="center"/>
          </w:tcPr>
          <w:p w14:paraId="3CEDFDAB">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本项目供水由园区统一供应，供水从园区供水管网接入厂区，设计供水能力为2000t/</w:t>
            </w:r>
            <w:r>
              <w:rPr>
                <w:rFonts w:hint="default" w:ascii="Times New Roman" w:hAnsi="Times New Roman" w:eastAsia="宋体" w:cs="Times New Roman"/>
                <w:b w:val="0"/>
                <w:bCs/>
                <w:color w:val="auto"/>
                <w:kern w:val="2"/>
                <w:sz w:val="21"/>
                <w:szCs w:val="21"/>
              </w:rPr>
              <w:t>d；工程用水量为</w:t>
            </w:r>
            <w:r>
              <w:rPr>
                <w:rFonts w:hint="default" w:ascii="Times New Roman" w:hAnsi="Times New Roman" w:eastAsia="宋体" w:cs="Times New Roman"/>
                <w:b w:val="0"/>
                <w:bCs/>
                <w:color w:val="auto"/>
                <w:kern w:val="2"/>
                <w:sz w:val="21"/>
                <w:szCs w:val="21"/>
                <w:lang w:val="en-US" w:eastAsia="zh-CN"/>
              </w:rPr>
              <w:t>63.32</w:t>
            </w:r>
            <w:r>
              <w:rPr>
                <w:rFonts w:hint="default" w:ascii="Times New Roman" w:hAnsi="Times New Roman" w:eastAsia="宋体" w:cs="Times New Roman"/>
                <w:b w:val="0"/>
                <w:bCs/>
                <w:color w:val="auto"/>
                <w:kern w:val="2"/>
                <w:sz w:val="21"/>
                <w:szCs w:val="21"/>
              </w:rPr>
              <w:t>t/d，工程供水能力满足需求。</w:t>
            </w:r>
          </w:p>
        </w:tc>
        <w:tc>
          <w:tcPr>
            <w:tcW w:w="1835" w:type="pct"/>
            <w:noWrap w:val="0"/>
            <w:vAlign w:val="center"/>
          </w:tcPr>
          <w:p w14:paraId="2EC360E3">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本项目供水由园区统一供应，供水从园区供水管网接入厂区，设计供水能力为2000t/</w:t>
            </w:r>
            <w:r>
              <w:rPr>
                <w:rFonts w:hint="default" w:ascii="Times New Roman" w:hAnsi="Times New Roman" w:eastAsia="宋体" w:cs="Times New Roman"/>
                <w:b w:val="0"/>
                <w:bCs/>
                <w:color w:val="auto"/>
                <w:kern w:val="2"/>
                <w:sz w:val="21"/>
                <w:szCs w:val="21"/>
              </w:rPr>
              <w:t>d；工程用水量为</w:t>
            </w:r>
            <w:r>
              <w:rPr>
                <w:rFonts w:hint="default" w:ascii="Times New Roman" w:hAnsi="Times New Roman" w:eastAsia="宋体" w:cs="Times New Roman"/>
                <w:b w:val="0"/>
                <w:bCs/>
                <w:color w:val="auto"/>
                <w:kern w:val="2"/>
                <w:sz w:val="21"/>
                <w:szCs w:val="21"/>
                <w:lang w:val="en-US" w:eastAsia="zh-CN"/>
              </w:rPr>
              <w:t>63.32</w:t>
            </w:r>
            <w:r>
              <w:rPr>
                <w:rFonts w:hint="default" w:ascii="Times New Roman" w:hAnsi="Times New Roman" w:eastAsia="宋体" w:cs="Times New Roman"/>
                <w:b w:val="0"/>
                <w:bCs/>
                <w:color w:val="auto"/>
                <w:kern w:val="2"/>
                <w:sz w:val="21"/>
                <w:szCs w:val="21"/>
              </w:rPr>
              <w:t>t/d，工程供水能力满足需求。</w:t>
            </w:r>
          </w:p>
        </w:tc>
        <w:tc>
          <w:tcPr>
            <w:tcW w:w="415" w:type="pct"/>
            <w:noWrap w:val="0"/>
            <w:vAlign w:val="center"/>
          </w:tcPr>
          <w:p w14:paraId="431FF2C0">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49FF6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251E7EF9">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551" w:type="pct"/>
            <w:noWrap w:val="0"/>
            <w:vAlign w:val="center"/>
          </w:tcPr>
          <w:p w14:paraId="4EB6DAA3">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纯水制备</w:t>
            </w:r>
          </w:p>
        </w:tc>
        <w:tc>
          <w:tcPr>
            <w:tcW w:w="1930" w:type="pct"/>
            <w:noWrap w:val="0"/>
            <w:vAlign w:val="center"/>
          </w:tcPr>
          <w:p w14:paraId="41F4E666">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纯水站制水采用以下制备工艺：树脂混床+两级RO反渗透+EDI。设有2套纯水制备机组（单套制备能力2t/h），以满足拟建项目工艺需求。</w:t>
            </w:r>
          </w:p>
        </w:tc>
        <w:tc>
          <w:tcPr>
            <w:tcW w:w="1835" w:type="pct"/>
            <w:noWrap w:val="0"/>
            <w:vAlign w:val="center"/>
          </w:tcPr>
          <w:p w14:paraId="4DCA0903">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纯水站制水采用以下制备工艺：树脂混床+两级RO反渗透+EDI。设有2套纯水制备机组（单套制备能力2t/h），以满足拟建项目工艺需求。</w:t>
            </w:r>
          </w:p>
        </w:tc>
        <w:tc>
          <w:tcPr>
            <w:tcW w:w="415" w:type="pct"/>
            <w:noWrap w:val="0"/>
            <w:vAlign w:val="center"/>
          </w:tcPr>
          <w:p w14:paraId="180DFD80">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574A9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3CFB1773">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551" w:type="pct"/>
            <w:vMerge w:val="restart"/>
            <w:noWrap w:val="0"/>
            <w:vAlign w:val="center"/>
          </w:tcPr>
          <w:p w14:paraId="3ACF4F67">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排水工程</w:t>
            </w:r>
          </w:p>
        </w:tc>
        <w:tc>
          <w:tcPr>
            <w:tcW w:w="1930" w:type="pct"/>
            <w:noWrap w:val="0"/>
            <w:vAlign w:val="center"/>
          </w:tcPr>
          <w:p w14:paraId="4DED58B3">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厂区内实行雨污分流，初期雨水收集进入污水处理设施，后期雨水进入雨水管网，项目厂区所有废水处理后，通过厂区排污口，排入高新区污水处理厂集中处理，实行明管排放，一企一管。</w:t>
            </w:r>
          </w:p>
        </w:tc>
        <w:tc>
          <w:tcPr>
            <w:tcW w:w="1835" w:type="pct"/>
            <w:noWrap w:val="0"/>
            <w:vAlign w:val="center"/>
          </w:tcPr>
          <w:p w14:paraId="0CE4FFF4">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厂区内实行雨污分流，初期雨水收集进入污水处理设施，后期雨水进入雨水管网，项目厂区所有废水处理后，通过厂区排污口，排入高新区污水处理厂集中处理，实行明管排放，一企一管。</w:t>
            </w:r>
          </w:p>
        </w:tc>
        <w:tc>
          <w:tcPr>
            <w:tcW w:w="415" w:type="pct"/>
            <w:noWrap w:val="0"/>
            <w:vAlign w:val="center"/>
          </w:tcPr>
          <w:p w14:paraId="5BEAFB3C">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222F9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569FD157">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vMerge w:val="continue"/>
            <w:noWrap w:val="0"/>
            <w:vAlign w:val="center"/>
          </w:tcPr>
          <w:p w14:paraId="4CD001A6">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1930" w:type="pct"/>
            <w:noWrap w:val="0"/>
            <w:vAlign w:val="center"/>
          </w:tcPr>
          <w:p w14:paraId="471CDC9D">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初期雨水池1座：设计规模750m</w:t>
            </w:r>
            <w:r>
              <w:rPr>
                <w:rFonts w:hint="default" w:ascii="Times New Roman" w:hAnsi="Times New Roman" w:eastAsia="宋体" w:cs="Times New Roman"/>
                <w:b w:val="0"/>
                <w:bCs/>
                <w:kern w:val="2"/>
                <w:sz w:val="21"/>
                <w:szCs w:val="21"/>
                <w:vertAlign w:val="superscript"/>
              </w:rPr>
              <w:t>3</w:t>
            </w:r>
            <w:r>
              <w:rPr>
                <w:rFonts w:hint="default" w:ascii="Times New Roman" w:hAnsi="Times New Roman" w:eastAsia="宋体" w:cs="Times New Roman"/>
                <w:b w:val="0"/>
                <w:bCs/>
                <w:kern w:val="2"/>
                <w:sz w:val="21"/>
                <w:szCs w:val="21"/>
              </w:rPr>
              <w:t>。</w:t>
            </w:r>
          </w:p>
        </w:tc>
        <w:tc>
          <w:tcPr>
            <w:tcW w:w="1835" w:type="pct"/>
            <w:noWrap w:val="0"/>
            <w:vAlign w:val="center"/>
          </w:tcPr>
          <w:p w14:paraId="2428EC93">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初期雨水池1座：设计规模750m</w:t>
            </w:r>
            <w:r>
              <w:rPr>
                <w:rFonts w:hint="default" w:ascii="Times New Roman" w:hAnsi="Times New Roman" w:eastAsia="宋体" w:cs="Times New Roman"/>
                <w:b w:val="0"/>
                <w:bCs/>
                <w:kern w:val="2"/>
                <w:sz w:val="21"/>
                <w:szCs w:val="21"/>
                <w:vertAlign w:val="superscript"/>
              </w:rPr>
              <w:t>3</w:t>
            </w:r>
            <w:r>
              <w:rPr>
                <w:rFonts w:hint="default" w:ascii="Times New Roman" w:hAnsi="Times New Roman" w:eastAsia="宋体" w:cs="Times New Roman"/>
                <w:b w:val="0"/>
                <w:bCs/>
                <w:kern w:val="2"/>
                <w:sz w:val="21"/>
                <w:szCs w:val="21"/>
              </w:rPr>
              <w:t>。</w:t>
            </w:r>
          </w:p>
        </w:tc>
        <w:tc>
          <w:tcPr>
            <w:tcW w:w="415" w:type="pct"/>
            <w:noWrap w:val="0"/>
            <w:vAlign w:val="center"/>
          </w:tcPr>
          <w:p w14:paraId="37D9741F">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13C9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0CB72926">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vMerge w:val="continue"/>
            <w:noWrap w:val="0"/>
            <w:vAlign w:val="center"/>
          </w:tcPr>
          <w:p w14:paraId="6A5A8242">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1930" w:type="pct"/>
            <w:noWrap w:val="0"/>
            <w:vAlign w:val="center"/>
          </w:tcPr>
          <w:p w14:paraId="314B7857">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事故池有效容积为1800m</w:t>
            </w:r>
            <w:r>
              <w:rPr>
                <w:rFonts w:hint="default" w:ascii="Times New Roman" w:hAnsi="Times New Roman" w:eastAsia="宋体" w:cs="Times New Roman"/>
                <w:b w:val="0"/>
                <w:bCs/>
                <w:kern w:val="2"/>
                <w:sz w:val="21"/>
                <w:szCs w:val="21"/>
                <w:vertAlign w:val="superscript"/>
              </w:rPr>
              <w:t>3</w:t>
            </w:r>
            <w:r>
              <w:rPr>
                <w:rFonts w:hint="default" w:ascii="Times New Roman" w:hAnsi="Times New Roman" w:eastAsia="宋体" w:cs="Times New Roman"/>
                <w:b w:val="0"/>
                <w:bCs/>
                <w:kern w:val="2"/>
                <w:sz w:val="21"/>
                <w:szCs w:val="21"/>
              </w:rPr>
              <w:t>。满足工程需求</w:t>
            </w:r>
          </w:p>
        </w:tc>
        <w:tc>
          <w:tcPr>
            <w:tcW w:w="1835" w:type="pct"/>
            <w:noWrap w:val="0"/>
            <w:vAlign w:val="center"/>
          </w:tcPr>
          <w:p w14:paraId="5C44560D">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事故池有效容积为1800m</w:t>
            </w:r>
            <w:r>
              <w:rPr>
                <w:rFonts w:hint="default" w:ascii="Times New Roman" w:hAnsi="Times New Roman" w:eastAsia="宋体" w:cs="Times New Roman"/>
                <w:b w:val="0"/>
                <w:bCs/>
                <w:kern w:val="2"/>
                <w:sz w:val="21"/>
                <w:szCs w:val="21"/>
                <w:vertAlign w:val="superscript"/>
              </w:rPr>
              <w:t>3</w:t>
            </w:r>
            <w:r>
              <w:rPr>
                <w:rFonts w:hint="default" w:ascii="Times New Roman" w:hAnsi="Times New Roman" w:eastAsia="宋体" w:cs="Times New Roman"/>
                <w:b w:val="0"/>
                <w:bCs/>
                <w:kern w:val="2"/>
                <w:sz w:val="21"/>
                <w:szCs w:val="21"/>
              </w:rPr>
              <w:t>。满足工程需求</w:t>
            </w:r>
          </w:p>
        </w:tc>
        <w:tc>
          <w:tcPr>
            <w:tcW w:w="415" w:type="pct"/>
            <w:noWrap w:val="0"/>
            <w:vAlign w:val="center"/>
          </w:tcPr>
          <w:p w14:paraId="1B495F12">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0B459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243D513B">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noWrap w:val="0"/>
            <w:vAlign w:val="center"/>
          </w:tcPr>
          <w:p w14:paraId="02E8874F">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供电工程</w:t>
            </w:r>
          </w:p>
        </w:tc>
        <w:tc>
          <w:tcPr>
            <w:tcW w:w="1930" w:type="pct"/>
            <w:noWrap w:val="0"/>
            <w:vAlign w:val="center"/>
          </w:tcPr>
          <w:p w14:paraId="0177950F">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用电从高新区变电站引来一路10KV高压线路至本工程变配电所。设计8台变压器，其中4台2000KVA 35/0.4KV；1台1600KVA 35/10KV；1台2000KVA 35/10KV；2台2000KVA 10/0.4KV。</w:t>
            </w:r>
          </w:p>
        </w:tc>
        <w:tc>
          <w:tcPr>
            <w:tcW w:w="1835" w:type="pct"/>
            <w:noWrap w:val="0"/>
            <w:vAlign w:val="center"/>
          </w:tcPr>
          <w:p w14:paraId="1448E09C">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用电从高新区变电站引来一路10KV高压线路至本工程变配电所。设计8台变压器，其中4台2000KVA 35/0.4KV；1台1600KVA 35/10KV；1台2000KVA 35/10KV；2台2000KVA 10/0.4KV。</w:t>
            </w:r>
          </w:p>
        </w:tc>
        <w:tc>
          <w:tcPr>
            <w:tcW w:w="415" w:type="pct"/>
            <w:noWrap w:val="0"/>
            <w:vAlign w:val="center"/>
          </w:tcPr>
          <w:p w14:paraId="0E219956">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5FE94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3" w:hRule="atLeast"/>
          <w:jc w:val="center"/>
        </w:trPr>
        <w:tc>
          <w:tcPr>
            <w:tcW w:w="267" w:type="pct"/>
            <w:vMerge w:val="continue"/>
            <w:noWrap w:val="0"/>
            <w:vAlign w:val="center"/>
          </w:tcPr>
          <w:p w14:paraId="29255265">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noWrap w:val="0"/>
            <w:vAlign w:val="center"/>
          </w:tcPr>
          <w:p w14:paraId="45C1A8A4">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供热</w:t>
            </w:r>
          </w:p>
        </w:tc>
        <w:tc>
          <w:tcPr>
            <w:tcW w:w="1930" w:type="pct"/>
            <w:noWrap w:val="0"/>
            <w:vAlign w:val="center"/>
          </w:tcPr>
          <w:p w14:paraId="2829F7FA">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（1）蒸汽供应：本项目反应和溶剂回收、生产过程中、高盐废水蒸发需要使用蒸汽，根据加热温度，所需饱和蒸汽平均用汽量为</w:t>
            </w:r>
            <w:r>
              <w:rPr>
                <w:rFonts w:hint="default" w:ascii="Times New Roman" w:hAnsi="Times New Roman" w:eastAsia="宋体" w:cs="Times New Roman"/>
                <w:b w:val="0"/>
                <w:bCs/>
                <w:color w:val="auto"/>
                <w:kern w:val="2"/>
                <w:sz w:val="21"/>
                <w:szCs w:val="21"/>
                <w:lang w:val="en-US" w:eastAsia="zh-CN"/>
              </w:rPr>
              <w:t>2.15</w:t>
            </w:r>
            <w:r>
              <w:rPr>
                <w:rFonts w:hint="default" w:ascii="Times New Roman" w:hAnsi="Times New Roman" w:eastAsia="宋体" w:cs="Times New Roman"/>
                <w:b w:val="0"/>
                <w:bCs/>
                <w:color w:val="auto"/>
                <w:kern w:val="2"/>
                <w:sz w:val="21"/>
                <w:szCs w:val="21"/>
              </w:rPr>
              <w:t>t/h（</w:t>
            </w:r>
            <w:r>
              <w:rPr>
                <w:rFonts w:hint="default" w:ascii="Times New Roman" w:hAnsi="Times New Roman" w:eastAsia="宋体" w:cs="Times New Roman"/>
                <w:b w:val="0"/>
                <w:bCs/>
                <w:color w:val="auto"/>
                <w:kern w:val="2"/>
                <w:sz w:val="21"/>
                <w:szCs w:val="21"/>
                <w:lang w:val="en-US" w:eastAsia="zh-CN"/>
              </w:rPr>
              <w:t>15500</w:t>
            </w:r>
            <w:r>
              <w:rPr>
                <w:rFonts w:hint="default" w:ascii="Times New Roman" w:hAnsi="Times New Roman" w:eastAsia="宋体" w:cs="Times New Roman"/>
                <w:b w:val="0"/>
                <w:bCs/>
                <w:color w:val="auto"/>
                <w:kern w:val="2"/>
                <w:sz w:val="21"/>
                <w:szCs w:val="21"/>
              </w:rPr>
              <w:t>t/a）。</w:t>
            </w:r>
            <w:r>
              <w:rPr>
                <w:rFonts w:hint="default" w:ascii="Times New Roman" w:hAnsi="Times New Roman" w:eastAsia="宋体" w:cs="Times New Roman"/>
                <w:b w:val="0"/>
                <w:bCs/>
                <w:kern w:val="2"/>
                <w:sz w:val="21"/>
                <w:szCs w:val="21"/>
              </w:rPr>
              <w:t>本项目所用蒸汽由园区供给，蒸汽压力0.5MPaG，管径DN150。蒸汽通过园区统一蒸汽管网，经厂区蒸汽分配站减压后送入厂区各使用单元。</w:t>
            </w:r>
          </w:p>
        </w:tc>
        <w:tc>
          <w:tcPr>
            <w:tcW w:w="1835" w:type="pct"/>
            <w:noWrap w:val="0"/>
            <w:vAlign w:val="center"/>
          </w:tcPr>
          <w:p w14:paraId="60B18640">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（1）蒸汽供应：本项目反应和溶剂回收、生产过程中、高盐废水蒸发需要使用蒸汽，根据加热温度，所需饱和蒸汽平均用汽量为</w:t>
            </w:r>
            <w:r>
              <w:rPr>
                <w:rFonts w:hint="default" w:ascii="Times New Roman" w:hAnsi="Times New Roman" w:eastAsia="宋体" w:cs="Times New Roman"/>
                <w:b w:val="0"/>
                <w:bCs/>
                <w:color w:val="auto"/>
                <w:kern w:val="2"/>
                <w:sz w:val="21"/>
                <w:szCs w:val="21"/>
                <w:lang w:val="en-US" w:eastAsia="zh-CN"/>
              </w:rPr>
              <w:t>2.15</w:t>
            </w:r>
            <w:r>
              <w:rPr>
                <w:rFonts w:hint="default" w:ascii="Times New Roman" w:hAnsi="Times New Roman" w:eastAsia="宋体" w:cs="Times New Roman"/>
                <w:b w:val="0"/>
                <w:bCs/>
                <w:color w:val="auto"/>
                <w:kern w:val="2"/>
                <w:sz w:val="21"/>
                <w:szCs w:val="21"/>
              </w:rPr>
              <w:t>t/h（</w:t>
            </w:r>
            <w:r>
              <w:rPr>
                <w:rFonts w:hint="default" w:ascii="Times New Roman" w:hAnsi="Times New Roman" w:eastAsia="宋体" w:cs="Times New Roman"/>
                <w:b w:val="0"/>
                <w:bCs/>
                <w:color w:val="auto"/>
                <w:kern w:val="2"/>
                <w:sz w:val="21"/>
                <w:szCs w:val="21"/>
                <w:lang w:val="en-US" w:eastAsia="zh-CN"/>
              </w:rPr>
              <w:t>15500</w:t>
            </w:r>
            <w:r>
              <w:rPr>
                <w:rFonts w:hint="default" w:ascii="Times New Roman" w:hAnsi="Times New Roman" w:eastAsia="宋体" w:cs="Times New Roman"/>
                <w:b w:val="0"/>
                <w:bCs/>
                <w:color w:val="auto"/>
                <w:kern w:val="2"/>
                <w:sz w:val="21"/>
                <w:szCs w:val="21"/>
              </w:rPr>
              <w:t>t/a）。</w:t>
            </w:r>
            <w:r>
              <w:rPr>
                <w:rFonts w:hint="default" w:ascii="Times New Roman" w:hAnsi="Times New Roman" w:eastAsia="宋体" w:cs="Times New Roman"/>
                <w:b w:val="0"/>
                <w:bCs/>
                <w:kern w:val="2"/>
                <w:sz w:val="21"/>
                <w:szCs w:val="21"/>
              </w:rPr>
              <w:t>本项目所用蒸汽由园区供给，蒸汽压力0.5MPaG，管径DN150。蒸汽通过园区统一蒸汽管网，经厂区蒸汽分配站减压后送入厂区各使用单元。</w:t>
            </w:r>
          </w:p>
        </w:tc>
        <w:tc>
          <w:tcPr>
            <w:tcW w:w="415" w:type="pct"/>
            <w:noWrap w:val="0"/>
            <w:vAlign w:val="center"/>
          </w:tcPr>
          <w:p w14:paraId="3C2CBD7F">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7526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420A9128">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noWrap w:val="0"/>
            <w:vAlign w:val="center"/>
          </w:tcPr>
          <w:p w14:paraId="5539F357">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循环水系统</w:t>
            </w:r>
          </w:p>
        </w:tc>
        <w:tc>
          <w:tcPr>
            <w:tcW w:w="1930" w:type="pct"/>
            <w:noWrap w:val="0"/>
            <w:vAlign w:val="center"/>
          </w:tcPr>
          <w:p w14:paraId="6840DE8F">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设置循环水站1座，循环水采用单车间单循环；循环水池与冷冻循环水池共用，循环水池容积3000m</w:t>
            </w:r>
            <w:r>
              <w:rPr>
                <w:rFonts w:hint="default" w:ascii="Times New Roman" w:hAnsi="Times New Roman" w:eastAsia="宋体" w:cs="Times New Roman"/>
                <w:b w:val="0"/>
                <w:bCs/>
                <w:kern w:val="2"/>
                <w:sz w:val="21"/>
                <w:szCs w:val="21"/>
                <w:vertAlign w:val="superscript"/>
              </w:rPr>
              <w:t>3</w:t>
            </w:r>
            <w:r>
              <w:rPr>
                <w:rFonts w:hint="default" w:ascii="Times New Roman" w:hAnsi="Times New Roman" w:eastAsia="宋体" w:cs="Times New Roman"/>
                <w:b w:val="0"/>
                <w:bCs/>
                <w:kern w:val="2"/>
                <w:sz w:val="21"/>
                <w:szCs w:val="21"/>
              </w:rPr>
              <w:t>（车间循环泵选用8台LS-150-125-400离心泵）。</w:t>
            </w:r>
          </w:p>
        </w:tc>
        <w:tc>
          <w:tcPr>
            <w:tcW w:w="1835" w:type="pct"/>
            <w:noWrap w:val="0"/>
            <w:vAlign w:val="center"/>
          </w:tcPr>
          <w:p w14:paraId="32A7BBE3">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设置循环水站1座，循环水采用单车间单循环；循环水池与冷冻循环水池共用，循环水池容积3000m</w:t>
            </w:r>
            <w:r>
              <w:rPr>
                <w:rFonts w:hint="default" w:ascii="Times New Roman" w:hAnsi="Times New Roman" w:eastAsia="宋体" w:cs="Times New Roman"/>
                <w:b w:val="0"/>
                <w:bCs/>
                <w:kern w:val="2"/>
                <w:sz w:val="21"/>
                <w:szCs w:val="21"/>
                <w:vertAlign w:val="superscript"/>
              </w:rPr>
              <w:t>3</w:t>
            </w:r>
            <w:r>
              <w:rPr>
                <w:rFonts w:hint="default" w:ascii="Times New Roman" w:hAnsi="Times New Roman" w:eastAsia="宋体" w:cs="Times New Roman"/>
                <w:b w:val="0"/>
                <w:bCs/>
                <w:kern w:val="2"/>
                <w:sz w:val="21"/>
                <w:szCs w:val="21"/>
              </w:rPr>
              <w:t>（车间循环泵选用8台LS-150-125-400离心泵）。</w:t>
            </w:r>
          </w:p>
        </w:tc>
        <w:tc>
          <w:tcPr>
            <w:tcW w:w="415" w:type="pct"/>
            <w:noWrap w:val="0"/>
            <w:vAlign w:val="center"/>
          </w:tcPr>
          <w:p w14:paraId="76DDEA9A">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598BC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36D973A6">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noWrap w:val="0"/>
            <w:vAlign w:val="center"/>
          </w:tcPr>
          <w:p w14:paraId="0EE47B4E">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冷冻机组</w:t>
            </w:r>
          </w:p>
        </w:tc>
        <w:tc>
          <w:tcPr>
            <w:tcW w:w="1930" w:type="pct"/>
            <w:noWrap w:val="0"/>
            <w:vAlign w:val="center"/>
          </w:tcPr>
          <w:p w14:paraId="35D5FBB5">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本项目冷冻机组布置在公用工程（一）车间一楼，采用管网输送至个使用点。配制冷冻机组如下：</w:t>
            </w:r>
          </w:p>
          <w:p w14:paraId="453E99E1">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①制冷量75万大卡，7℃水机组：3台（二开一备），单机组配电170KW；</w:t>
            </w:r>
          </w:p>
          <w:p w14:paraId="6505F0DC">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②制冷量50万大卡，-15℃机组：3台（二开一备），单机组配电215KW；</w:t>
            </w:r>
          </w:p>
          <w:p w14:paraId="43C558EE">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③制冷量20万大卡，-35℃机组：2台（一开一备），单机组配电204KW；</w:t>
            </w:r>
          </w:p>
          <w:p w14:paraId="2E77F33C">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④蒸发冷却塔采取1对1冷却，需8台RT300冷却塔。</w:t>
            </w:r>
          </w:p>
          <w:p w14:paraId="1AADE1C1">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冷冻机组循环冷却水供应能力600t/h。冷冻机组采用乙二醇作为冷媒介质。</w:t>
            </w:r>
          </w:p>
        </w:tc>
        <w:tc>
          <w:tcPr>
            <w:tcW w:w="1835" w:type="pct"/>
            <w:noWrap w:val="0"/>
            <w:vAlign w:val="center"/>
          </w:tcPr>
          <w:p w14:paraId="2BD594EF">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本项目冷冻机组布置在公用工程（一）车间一楼，采用管网输送至个使用点。配制冷冻机组如下：</w:t>
            </w:r>
          </w:p>
          <w:p w14:paraId="2B161DCA">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①制冷量75万大卡，7℃水机组：3台（二开一备），单机组配电170KW；</w:t>
            </w:r>
          </w:p>
          <w:p w14:paraId="4C8DB4E0">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②制冷量50万大卡，-15℃机组：3台（二开一备），单机组配电215KW；</w:t>
            </w:r>
          </w:p>
          <w:p w14:paraId="20F674F2">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③制冷量20万大卡，-35℃机组：2台（一开一备），单机组配电204KW；</w:t>
            </w:r>
          </w:p>
          <w:p w14:paraId="054CEA0E">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④蒸发冷却塔采取1对1冷却，需8台RT300冷却塔。</w:t>
            </w:r>
          </w:p>
          <w:p w14:paraId="580B9D3A">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冷冻机组循环冷却水供应能力600t/h。冷冻机组采用乙二醇作为冷媒介质。</w:t>
            </w:r>
          </w:p>
        </w:tc>
        <w:tc>
          <w:tcPr>
            <w:tcW w:w="415" w:type="pct"/>
            <w:noWrap w:val="0"/>
            <w:vAlign w:val="center"/>
          </w:tcPr>
          <w:p w14:paraId="027D1FFF">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54C4C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3080D353">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noWrap w:val="0"/>
            <w:vAlign w:val="center"/>
          </w:tcPr>
          <w:p w14:paraId="55DF0E7A">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供气</w:t>
            </w:r>
          </w:p>
        </w:tc>
        <w:tc>
          <w:tcPr>
            <w:tcW w:w="1930" w:type="pct"/>
            <w:noWrap w:val="0"/>
            <w:vAlign w:val="center"/>
          </w:tcPr>
          <w:p w14:paraId="3CDF9991">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制氮机、空压机布置在公用工程（一）车间三楼；制氮设计为2套变压吸附（PSA）制氮系统，每套流量为200标方/h，供应车间工艺用气及仪器仪表用气；空压机设定为12立方/min空压机一台，配套12立方/h冻干机1台，供应车间气动泵用气；</w:t>
            </w:r>
          </w:p>
        </w:tc>
        <w:tc>
          <w:tcPr>
            <w:tcW w:w="1835" w:type="pct"/>
            <w:noWrap w:val="0"/>
            <w:vAlign w:val="center"/>
          </w:tcPr>
          <w:p w14:paraId="07D39B5C">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制氮机、空压机布置在公用工程（一）车间三楼；制氮设计为2套变压吸附（PSA）制氮系统，每套流量为200标方/h，供应车间工艺用气及仪器仪表用气；空压机设定为12立方/min空压机一台，配套12立方/h冻干机1台，供应车间气动泵用气；</w:t>
            </w:r>
          </w:p>
        </w:tc>
        <w:tc>
          <w:tcPr>
            <w:tcW w:w="415" w:type="pct"/>
            <w:noWrap w:val="0"/>
            <w:vAlign w:val="center"/>
          </w:tcPr>
          <w:p w14:paraId="5195C8B4">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764E3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21ABAAE1">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noWrap w:val="0"/>
            <w:vAlign w:val="center"/>
          </w:tcPr>
          <w:p w14:paraId="09160DD4">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r>
              <w:rPr>
                <w:rFonts w:hint="default" w:ascii="Times New Roman" w:hAnsi="Times New Roman" w:eastAsia="宋体" w:cs="Times New Roman"/>
                <w:b w:val="0"/>
                <w:bCs/>
                <w:kern w:val="2"/>
                <w:sz w:val="21"/>
                <w:szCs w:val="21"/>
              </w:rPr>
              <w:t>消防水池</w:t>
            </w:r>
          </w:p>
        </w:tc>
        <w:tc>
          <w:tcPr>
            <w:tcW w:w="1930" w:type="pct"/>
            <w:noWrap w:val="0"/>
            <w:vAlign w:val="center"/>
          </w:tcPr>
          <w:p w14:paraId="2E97E8FE">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r>
              <w:rPr>
                <w:rFonts w:hint="default" w:ascii="Times New Roman" w:hAnsi="Times New Roman" w:eastAsia="宋体" w:cs="Times New Roman"/>
                <w:b w:val="0"/>
                <w:bCs/>
                <w:kern w:val="2"/>
                <w:sz w:val="21"/>
                <w:szCs w:val="21"/>
              </w:rPr>
              <w:t>设消防水站一座，并建有消防泵房。总有效容积为1026m</w:t>
            </w:r>
            <w:r>
              <w:rPr>
                <w:rFonts w:hint="default" w:ascii="Times New Roman" w:hAnsi="Times New Roman" w:eastAsia="宋体" w:cs="Times New Roman"/>
                <w:b w:val="0"/>
                <w:bCs/>
                <w:kern w:val="2"/>
                <w:sz w:val="21"/>
                <w:szCs w:val="21"/>
                <w:vertAlign w:val="superscript"/>
              </w:rPr>
              <w:t>3</w:t>
            </w:r>
            <w:r>
              <w:rPr>
                <w:rFonts w:hint="default" w:ascii="Times New Roman" w:hAnsi="Times New Roman" w:eastAsia="宋体" w:cs="Times New Roman"/>
                <w:b w:val="0"/>
                <w:bCs/>
                <w:kern w:val="2"/>
                <w:sz w:val="21"/>
                <w:szCs w:val="21"/>
              </w:rPr>
              <w:t>。消防水池补水管管径为DN100，补水时间不超过48h，保证厂区消防用水。在厂区质检楼内设置消防泵房1间，消防泵房内设消防泵为本项目消防水管网提供消防水。</w:t>
            </w:r>
          </w:p>
        </w:tc>
        <w:tc>
          <w:tcPr>
            <w:tcW w:w="1835" w:type="pct"/>
            <w:noWrap w:val="0"/>
            <w:vAlign w:val="center"/>
          </w:tcPr>
          <w:p w14:paraId="2B83DA38">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设消防水站一座，并建有消防泵房。总有效容积为1026m</w:t>
            </w:r>
            <w:r>
              <w:rPr>
                <w:rFonts w:hint="default" w:ascii="Times New Roman" w:hAnsi="Times New Roman" w:eastAsia="宋体" w:cs="Times New Roman"/>
                <w:b w:val="0"/>
                <w:bCs/>
                <w:kern w:val="2"/>
                <w:sz w:val="21"/>
                <w:szCs w:val="21"/>
                <w:vertAlign w:val="superscript"/>
              </w:rPr>
              <w:t>3</w:t>
            </w:r>
            <w:r>
              <w:rPr>
                <w:rFonts w:hint="default" w:ascii="Times New Roman" w:hAnsi="Times New Roman" w:eastAsia="宋体" w:cs="Times New Roman"/>
                <w:b w:val="0"/>
                <w:bCs/>
                <w:kern w:val="2"/>
                <w:sz w:val="21"/>
                <w:szCs w:val="21"/>
              </w:rPr>
              <w:t>。消防水池补水管管径为DN100，补水时间不超过48h，保证厂区消防用水。在厂区质检楼内设置消防泵房1间，消防泵房内设消防泵为本项目消防水管网提供消防水。</w:t>
            </w:r>
          </w:p>
        </w:tc>
        <w:tc>
          <w:tcPr>
            <w:tcW w:w="415" w:type="pct"/>
            <w:noWrap w:val="0"/>
            <w:vAlign w:val="center"/>
          </w:tcPr>
          <w:p w14:paraId="100C6A3C">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5D951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restart"/>
            <w:noWrap w:val="0"/>
            <w:vAlign w:val="center"/>
          </w:tcPr>
          <w:p w14:paraId="67098409">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贮运工程</w:t>
            </w:r>
          </w:p>
        </w:tc>
        <w:tc>
          <w:tcPr>
            <w:tcW w:w="551" w:type="pct"/>
            <w:vMerge w:val="restart"/>
            <w:noWrap w:val="0"/>
            <w:vAlign w:val="center"/>
          </w:tcPr>
          <w:p w14:paraId="4CB44C4D">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贮存</w:t>
            </w:r>
          </w:p>
        </w:tc>
        <w:tc>
          <w:tcPr>
            <w:tcW w:w="1930" w:type="pct"/>
            <w:noWrap w:val="0"/>
            <w:vAlign w:val="center"/>
          </w:tcPr>
          <w:p w14:paraId="147E36E4">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201仓库（功能：原辅料仓库）：共1层，占地740.45m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，甲类仓库。</w:t>
            </w:r>
          </w:p>
        </w:tc>
        <w:tc>
          <w:tcPr>
            <w:tcW w:w="1835" w:type="pct"/>
            <w:noWrap w:val="0"/>
            <w:vAlign w:val="center"/>
          </w:tcPr>
          <w:p w14:paraId="3022DED3">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201仓库（功能：原辅料仓库）：共1层，占地740.45m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，甲类仓库。</w:t>
            </w:r>
          </w:p>
        </w:tc>
        <w:tc>
          <w:tcPr>
            <w:tcW w:w="415" w:type="pct"/>
            <w:noWrap w:val="0"/>
            <w:vAlign w:val="center"/>
          </w:tcPr>
          <w:p w14:paraId="3904BB47">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16CDE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1CCF1087">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551" w:type="pct"/>
            <w:vMerge w:val="continue"/>
            <w:noWrap w:val="0"/>
            <w:vAlign w:val="center"/>
          </w:tcPr>
          <w:p w14:paraId="7ED79143">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1930" w:type="pct"/>
            <w:noWrap w:val="0"/>
            <w:vAlign w:val="center"/>
          </w:tcPr>
          <w:p w14:paraId="397D04CA">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202仓库（功能：原辅料仓库）：共1层，占地740.45m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，甲类仓库。</w:t>
            </w:r>
          </w:p>
        </w:tc>
        <w:tc>
          <w:tcPr>
            <w:tcW w:w="1835" w:type="pct"/>
            <w:noWrap w:val="0"/>
            <w:vAlign w:val="center"/>
          </w:tcPr>
          <w:p w14:paraId="41492678">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202仓库（功能：原辅料仓库）：共1层，占地740.45m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，甲类仓库。</w:t>
            </w:r>
          </w:p>
        </w:tc>
        <w:tc>
          <w:tcPr>
            <w:tcW w:w="415" w:type="pct"/>
            <w:noWrap w:val="0"/>
            <w:vAlign w:val="center"/>
          </w:tcPr>
          <w:p w14:paraId="663F6900">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7C18A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42997BDE">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551" w:type="pct"/>
            <w:vMerge w:val="continue"/>
            <w:noWrap w:val="0"/>
            <w:vAlign w:val="center"/>
          </w:tcPr>
          <w:p w14:paraId="2426C87F">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1930" w:type="pct"/>
            <w:noWrap w:val="0"/>
            <w:vAlign w:val="center"/>
          </w:tcPr>
          <w:p w14:paraId="5C56FFEB">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203仓库（功能：危险废物仓库）：共1层，占地1464.29m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，甲类仓库。</w:t>
            </w:r>
          </w:p>
        </w:tc>
        <w:tc>
          <w:tcPr>
            <w:tcW w:w="1835" w:type="pct"/>
            <w:noWrap w:val="0"/>
            <w:vAlign w:val="center"/>
          </w:tcPr>
          <w:p w14:paraId="5A18F478">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203仓库（功能：危险废物仓库</w:t>
            </w:r>
            <w:r>
              <w:rPr>
                <w:rFonts w:hint="default" w:ascii="Times New Roman" w:hAnsi="Times New Roman" w:eastAsia="宋体" w:cs="Times New Roman"/>
                <w:b w:val="0"/>
                <w:bCs/>
                <w:kern w:val="2"/>
                <w:sz w:val="21"/>
                <w:szCs w:val="21"/>
                <w:lang w:val="en-US" w:eastAsia="zh-CN"/>
              </w:rPr>
              <w:t>、一般固废库及预留仓库</w:t>
            </w:r>
            <w:r>
              <w:rPr>
                <w:rFonts w:hint="default" w:ascii="Times New Roman" w:hAnsi="Times New Roman" w:eastAsia="宋体" w:cs="Times New Roman"/>
                <w:b w:val="0"/>
                <w:bCs/>
                <w:kern w:val="2"/>
                <w:sz w:val="21"/>
                <w:szCs w:val="21"/>
              </w:rPr>
              <w:t>）：共1层，占地1464.29m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，甲类仓库。</w:t>
            </w:r>
          </w:p>
        </w:tc>
        <w:tc>
          <w:tcPr>
            <w:tcW w:w="415" w:type="pct"/>
            <w:noWrap w:val="0"/>
            <w:vAlign w:val="center"/>
          </w:tcPr>
          <w:p w14:paraId="5467CC72">
            <w:pPr>
              <w:widowControl w:val="0"/>
              <w:spacing w:line="240" w:lineRule="auto"/>
              <w:ind w:firstLine="0" w:firstLineChars="0"/>
              <w:jc w:val="center"/>
              <w:rPr>
                <w:rFonts w:hint="default" w:ascii="Times New Roman" w:hAnsi="Times New Roman" w:eastAsia="宋体" w:cs="Times New Roman"/>
                <w:b w:val="0"/>
                <w:bCs/>
                <w:kern w:val="2"/>
                <w:sz w:val="21"/>
                <w:szCs w:val="21"/>
                <w:lang w:val="en-US" w:eastAsia="zh-CN"/>
              </w:rPr>
            </w:pPr>
            <w:r>
              <w:rPr>
                <w:rFonts w:hint="default" w:ascii="Times New Roman" w:hAnsi="Times New Roman" w:eastAsia="宋体" w:cs="Times New Roman"/>
                <w:b w:val="0"/>
                <w:bCs/>
                <w:kern w:val="2"/>
                <w:sz w:val="21"/>
                <w:szCs w:val="21"/>
                <w:lang w:val="en-US" w:eastAsia="zh-CN"/>
              </w:rPr>
              <w:t>将危废仓库拆分</w:t>
            </w:r>
          </w:p>
        </w:tc>
      </w:tr>
      <w:tr w14:paraId="72FE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224923C7">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551" w:type="pct"/>
            <w:vMerge w:val="continue"/>
            <w:noWrap w:val="0"/>
            <w:vAlign w:val="center"/>
          </w:tcPr>
          <w:p w14:paraId="3D8EB85F">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1930" w:type="pct"/>
            <w:noWrap w:val="0"/>
            <w:vAlign w:val="center"/>
          </w:tcPr>
          <w:p w14:paraId="6FBBFDE2">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204仓库（功能：原辅料仓库）：共1层，占地166.3m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，甲类仓库。</w:t>
            </w:r>
          </w:p>
        </w:tc>
        <w:tc>
          <w:tcPr>
            <w:tcW w:w="1835" w:type="pct"/>
            <w:noWrap w:val="0"/>
            <w:vAlign w:val="center"/>
          </w:tcPr>
          <w:p w14:paraId="6564688B">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204仓库（功能：原辅料仓库）：共1层，占地166.3m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，甲类仓库。</w:t>
            </w:r>
          </w:p>
        </w:tc>
        <w:tc>
          <w:tcPr>
            <w:tcW w:w="415" w:type="pct"/>
            <w:noWrap w:val="0"/>
            <w:vAlign w:val="center"/>
          </w:tcPr>
          <w:p w14:paraId="79303F0B">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1D4A8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21CD98CB">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551" w:type="pct"/>
            <w:vMerge w:val="continue"/>
            <w:noWrap w:val="0"/>
            <w:vAlign w:val="center"/>
          </w:tcPr>
          <w:p w14:paraId="5F527ECE">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1930" w:type="pct"/>
            <w:noWrap w:val="0"/>
            <w:vAlign w:val="center"/>
          </w:tcPr>
          <w:p w14:paraId="7002B2F1">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205仓库（功能：原辅料仓库）：共1层，占地740.45m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，甲类仓库。</w:t>
            </w:r>
          </w:p>
        </w:tc>
        <w:tc>
          <w:tcPr>
            <w:tcW w:w="1835" w:type="pct"/>
            <w:noWrap w:val="0"/>
            <w:vAlign w:val="center"/>
          </w:tcPr>
          <w:p w14:paraId="1FBD0292">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205仓库（功能：原辅料仓库）：共1层，占地740.45m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，甲类仓库。</w:t>
            </w:r>
          </w:p>
        </w:tc>
        <w:tc>
          <w:tcPr>
            <w:tcW w:w="415" w:type="pct"/>
            <w:noWrap w:val="0"/>
            <w:vAlign w:val="center"/>
          </w:tcPr>
          <w:p w14:paraId="50D988DA">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04144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646F3F20">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551" w:type="pct"/>
            <w:vMerge w:val="continue"/>
            <w:noWrap w:val="0"/>
            <w:vAlign w:val="center"/>
          </w:tcPr>
          <w:p w14:paraId="489F5D6A">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1930" w:type="pct"/>
            <w:noWrap w:val="0"/>
            <w:vAlign w:val="center"/>
          </w:tcPr>
          <w:p w14:paraId="6D3F666B">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206仓库（功能：成品仓库及原辅料仓库）：共4层，占地2573.77m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，建筑面积9358.35m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，丙类仓库。</w:t>
            </w:r>
          </w:p>
        </w:tc>
        <w:tc>
          <w:tcPr>
            <w:tcW w:w="1835" w:type="pct"/>
            <w:noWrap w:val="0"/>
            <w:vAlign w:val="center"/>
          </w:tcPr>
          <w:p w14:paraId="0ABC6BA6">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206仓库（功能：成品仓库及原辅料仓库）：共4层，占地2573.77m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，建筑面积9358.35m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，丙类仓库。</w:t>
            </w:r>
          </w:p>
        </w:tc>
        <w:tc>
          <w:tcPr>
            <w:tcW w:w="415" w:type="pct"/>
            <w:noWrap w:val="0"/>
            <w:vAlign w:val="center"/>
          </w:tcPr>
          <w:p w14:paraId="658B0314">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6DA2A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7B82B725">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551" w:type="pct"/>
            <w:noWrap w:val="0"/>
            <w:vAlign w:val="center"/>
          </w:tcPr>
          <w:p w14:paraId="4C554242">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储罐</w:t>
            </w:r>
          </w:p>
        </w:tc>
        <w:tc>
          <w:tcPr>
            <w:tcW w:w="1930" w:type="pct"/>
            <w:noWrap w:val="0"/>
            <w:vAlign w:val="center"/>
          </w:tcPr>
          <w:p w14:paraId="34D13E53">
            <w:pPr>
              <w:widowControl w:val="0"/>
              <w:spacing w:line="240" w:lineRule="auto"/>
              <w:ind w:firstLine="0" w:firstLineChars="0"/>
              <w:jc w:val="center"/>
              <w:rPr>
                <w:rFonts w:hint="default" w:ascii="Times New Roman" w:hAnsi="Times New Roman" w:eastAsia="宋体" w:cs="Times New Roman"/>
                <w:b w:val="0"/>
                <w:bCs/>
                <w:kern w:val="2"/>
                <w:sz w:val="21"/>
                <w:szCs w:val="21"/>
                <w:lang w:val="en-US" w:eastAsia="zh-CN"/>
              </w:rPr>
            </w:pPr>
            <w:r>
              <w:rPr>
                <w:rFonts w:hint="default" w:ascii="Times New Roman" w:hAnsi="Times New Roman" w:eastAsia="宋体" w:cs="Times New Roman"/>
                <w:b w:val="0"/>
                <w:bCs/>
                <w:kern w:val="2"/>
                <w:sz w:val="21"/>
                <w:szCs w:val="21"/>
              </w:rPr>
              <w:t>厂区共24个储罐，均为固定顶立式罐，单个储罐50m</w:t>
            </w:r>
            <w:r>
              <w:rPr>
                <w:rFonts w:hint="default" w:ascii="Times New Roman" w:hAnsi="Times New Roman" w:eastAsia="宋体" w:cs="Times New Roman"/>
                <w:b w:val="0"/>
                <w:bCs/>
                <w:kern w:val="2"/>
                <w:sz w:val="21"/>
                <w:szCs w:val="21"/>
                <w:vertAlign w:val="superscript"/>
              </w:rPr>
              <w:t>3</w:t>
            </w:r>
            <w:r>
              <w:rPr>
                <w:rFonts w:hint="default" w:ascii="Times New Roman" w:hAnsi="Times New Roman" w:eastAsia="宋体" w:cs="Times New Roman"/>
                <w:b w:val="0"/>
                <w:bCs/>
                <w:kern w:val="2"/>
                <w:sz w:val="21"/>
                <w:szCs w:val="21"/>
              </w:rPr>
              <w:t>，一期项目已用19个，分别为：氢溴酸储罐1个；浓硫酸储罐1个；30%盐酸储罐1个；30%液碱储罐1个；25%氨水储罐1个；次氯酸钠储罐1个；甲醇储罐1个；乙醇储罐1个；异丙醇储罐1个；乙腈储罐1个；甲苯储罐1个；双氧水储罐1个；三氯甲烷储罐1个；二氯甲烷储罐1个；乙酸储罐1个；DMF储罐1个；副产盐酸储罐1个；丙酮储罐1个；乙酸乙酯储罐1个；目前备用储罐</w:t>
            </w:r>
            <w:r>
              <w:rPr>
                <w:rFonts w:hint="default" w:ascii="Times New Roman" w:hAnsi="Times New Roman" w:eastAsia="宋体" w:cs="Times New Roman"/>
                <w:b w:val="0"/>
                <w:bCs/>
                <w:kern w:val="2"/>
                <w:sz w:val="21"/>
                <w:szCs w:val="21"/>
                <w:lang w:val="en-US" w:eastAsia="zh-CN"/>
              </w:rPr>
              <w:t>5</w:t>
            </w:r>
            <w:r>
              <w:rPr>
                <w:rFonts w:hint="default" w:ascii="Times New Roman" w:hAnsi="Times New Roman" w:eastAsia="宋体" w:cs="Times New Roman"/>
                <w:b w:val="0"/>
                <w:bCs/>
                <w:kern w:val="2"/>
                <w:sz w:val="21"/>
                <w:szCs w:val="21"/>
              </w:rPr>
              <w:t>个，用于存储本项目DMC、甲基叔丁基醚、三乙胺、乙酸异丙酯和正庚烷。本次在厂区东南侧新建</w:t>
            </w:r>
            <w:r>
              <w:rPr>
                <w:rFonts w:hint="default" w:ascii="Times New Roman" w:hAnsi="Times New Roman" w:eastAsia="宋体" w:cs="Times New Roman"/>
                <w:b w:val="0"/>
                <w:bCs/>
                <w:kern w:val="2"/>
                <w:sz w:val="21"/>
                <w:szCs w:val="21"/>
                <w:lang w:val="en-US" w:eastAsia="zh-CN"/>
              </w:rPr>
              <w:t>2</w:t>
            </w:r>
            <w:r>
              <w:rPr>
                <w:rFonts w:hint="default" w:ascii="Times New Roman" w:hAnsi="Times New Roman" w:eastAsia="宋体" w:cs="Times New Roman"/>
                <w:b w:val="0"/>
                <w:bCs/>
                <w:kern w:val="2"/>
                <w:sz w:val="21"/>
                <w:szCs w:val="21"/>
              </w:rPr>
              <w:t>个</w:t>
            </w:r>
            <w:r>
              <w:rPr>
                <w:rFonts w:hint="default" w:ascii="Times New Roman" w:hAnsi="Times New Roman" w:eastAsia="宋体" w:cs="Times New Roman"/>
                <w:b w:val="0"/>
                <w:bCs/>
                <w:kern w:val="2"/>
                <w:sz w:val="21"/>
                <w:szCs w:val="21"/>
                <w:lang w:val="en-US" w:eastAsia="zh-CN"/>
              </w:rPr>
              <w:t>2</w:t>
            </w:r>
            <w:r>
              <w:rPr>
                <w:rFonts w:hint="default" w:ascii="Times New Roman" w:hAnsi="Times New Roman" w:eastAsia="宋体" w:cs="Times New Roman"/>
                <w:b w:val="0"/>
                <w:bCs/>
                <w:kern w:val="2"/>
                <w:sz w:val="21"/>
                <w:szCs w:val="21"/>
              </w:rPr>
              <w:t>00立方储罐用于存储CEC</w:t>
            </w:r>
            <w:r>
              <w:rPr>
                <w:rFonts w:hint="default" w:ascii="Times New Roman" w:hAnsi="Times New Roman" w:eastAsia="宋体" w:cs="Times New Roman"/>
                <w:b w:val="0"/>
                <w:bCs/>
                <w:kern w:val="2"/>
                <w:sz w:val="21"/>
                <w:szCs w:val="21"/>
                <w:lang w:val="en-US" w:eastAsia="zh-CN"/>
              </w:rPr>
              <w:t>。</w:t>
            </w:r>
          </w:p>
        </w:tc>
        <w:tc>
          <w:tcPr>
            <w:tcW w:w="1835" w:type="pct"/>
            <w:noWrap w:val="0"/>
            <w:vAlign w:val="center"/>
          </w:tcPr>
          <w:p w14:paraId="686629B3">
            <w:pPr>
              <w:widowControl w:val="0"/>
              <w:spacing w:line="240" w:lineRule="auto"/>
              <w:ind w:firstLine="0" w:firstLineChars="0"/>
              <w:jc w:val="center"/>
              <w:rPr>
                <w:rFonts w:hint="default" w:ascii="Times New Roman" w:hAnsi="Times New Roman" w:eastAsia="宋体" w:cs="Times New Roman"/>
                <w:b w:val="0"/>
                <w:bCs/>
                <w:color w:val="auto"/>
                <w:kern w:val="2"/>
                <w:sz w:val="21"/>
                <w:szCs w:val="21"/>
                <w:lang w:val="en-US" w:eastAsia="zh-CN"/>
              </w:rPr>
            </w:pPr>
            <w:r>
              <w:rPr>
                <w:rFonts w:hint="default" w:ascii="Times New Roman" w:hAnsi="Times New Roman" w:eastAsia="宋体" w:cs="Times New Roman"/>
                <w:b w:val="0"/>
                <w:bCs/>
                <w:color w:val="auto"/>
                <w:kern w:val="2"/>
                <w:sz w:val="21"/>
                <w:szCs w:val="21"/>
              </w:rPr>
              <w:t>本次在厂区东南侧新建</w:t>
            </w:r>
            <w:r>
              <w:rPr>
                <w:rFonts w:hint="default" w:ascii="Times New Roman" w:hAnsi="Times New Roman" w:eastAsia="宋体" w:cs="Times New Roman"/>
                <w:b w:val="0"/>
                <w:bCs/>
                <w:color w:val="auto"/>
                <w:kern w:val="2"/>
                <w:sz w:val="21"/>
                <w:szCs w:val="21"/>
                <w:lang w:val="en-US" w:eastAsia="zh-CN"/>
              </w:rPr>
              <w:t>2</w:t>
            </w:r>
            <w:r>
              <w:rPr>
                <w:rFonts w:hint="default" w:ascii="Times New Roman" w:hAnsi="Times New Roman" w:eastAsia="宋体" w:cs="Times New Roman"/>
                <w:b w:val="0"/>
                <w:bCs/>
                <w:color w:val="auto"/>
                <w:kern w:val="2"/>
                <w:sz w:val="21"/>
                <w:szCs w:val="21"/>
              </w:rPr>
              <w:t>个</w:t>
            </w:r>
            <w:r>
              <w:rPr>
                <w:rFonts w:hint="default" w:ascii="Times New Roman" w:hAnsi="Times New Roman" w:eastAsia="宋体" w:cs="Times New Roman"/>
                <w:b w:val="0"/>
                <w:bCs/>
                <w:color w:val="auto"/>
                <w:kern w:val="2"/>
                <w:sz w:val="21"/>
                <w:szCs w:val="21"/>
                <w:lang w:val="en-US" w:eastAsia="zh-CN"/>
              </w:rPr>
              <w:t>2</w:t>
            </w:r>
            <w:r>
              <w:rPr>
                <w:rFonts w:hint="default" w:ascii="Times New Roman" w:hAnsi="Times New Roman" w:eastAsia="宋体" w:cs="Times New Roman"/>
                <w:b w:val="0"/>
                <w:bCs/>
                <w:color w:val="auto"/>
                <w:kern w:val="2"/>
                <w:sz w:val="21"/>
                <w:szCs w:val="21"/>
              </w:rPr>
              <w:t>00立方储罐用于存储CEC</w:t>
            </w:r>
            <w:r>
              <w:rPr>
                <w:rFonts w:hint="default" w:ascii="Times New Roman" w:hAnsi="Times New Roman" w:eastAsia="宋体" w:cs="Times New Roman"/>
                <w:b w:val="0"/>
                <w:bCs/>
                <w:color w:val="auto"/>
                <w:kern w:val="2"/>
                <w:sz w:val="21"/>
                <w:szCs w:val="21"/>
                <w:lang w:val="en-US" w:eastAsia="zh-CN"/>
              </w:rPr>
              <w:t>。</w:t>
            </w:r>
            <w:r>
              <w:rPr>
                <w:rFonts w:hint="eastAsia" w:cs="Times New Roman"/>
                <w:b w:val="0"/>
                <w:bCs/>
                <w:color w:val="auto"/>
                <w:kern w:val="2"/>
                <w:sz w:val="21"/>
                <w:szCs w:val="21"/>
                <w:lang w:val="en-US" w:eastAsia="zh-CN"/>
              </w:rPr>
              <w:t>其他产品设计储罐暂时是空置状态。</w:t>
            </w:r>
          </w:p>
        </w:tc>
        <w:tc>
          <w:tcPr>
            <w:tcW w:w="415" w:type="pct"/>
            <w:noWrap w:val="0"/>
            <w:vAlign w:val="center"/>
          </w:tcPr>
          <w:p w14:paraId="5D792FCE">
            <w:pPr>
              <w:widowControl w:val="0"/>
              <w:spacing w:line="240" w:lineRule="auto"/>
              <w:ind w:firstLine="0" w:firstLineChars="0"/>
              <w:jc w:val="center"/>
              <w:rPr>
                <w:rFonts w:hint="default" w:ascii="Times New Roman" w:hAnsi="Times New Roman" w:eastAsia="宋体" w:cs="Times New Roman"/>
                <w:b w:val="0"/>
                <w:bCs/>
                <w:color w:val="auto"/>
                <w:kern w:val="2"/>
                <w:sz w:val="21"/>
                <w:szCs w:val="21"/>
                <w:lang w:val="en-US" w:eastAsia="zh-CN"/>
              </w:rPr>
            </w:pPr>
            <w:r>
              <w:rPr>
                <w:rFonts w:hint="eastAsia" w:cs="Times New Roman"/>
                <w:b w:val="0"/>
                <w:bCs/>
                <w:color w:val="auto"/>
                <w:kern w:val="2"/>
                <w:sz w:val="21"/>
                <w:szCs w:val="21"/>
                <w:lang w:val="en-US" w:eastAsia="zh-CN"/>
              </w:rPr>
              <w:t>其他储罐已建设，均未投入使用，为闲置状态</w:t>
            </w:r>
          </w:p>
        </w:tc>
      </w:tr>
      <w:tr w14:paraId="3BC72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63A5E28B">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noWrap w:val="0"/>
            <w:vAlign w:val="center"/>
          </w:tcPr>
          <w:p w14:paraId="7A811925">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废旧设备堆场</w:t>
            </w:r>
          </w:p>
        </w:tc>
        <w:tc>
          <w:tcPr>
            <w:tcW w:w="1930" w:type="pct"/>
            <w:noWrap w:val="0"/>
            <w:vAlign w:val="center"/>
          </w:tcPr>
          <w:p w14:paraId="219EAEBF">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在厂区西南角设置废旧设备堆场，占地面积313m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w:t>
            </w:r>
          </w:p>
        </w:tc>
        <w:tc>
          <w:tcPr>
            <w:tcW w:w="1835" w:type="pct"/>
            <w:noWrap w:val="0"/>
            <w:vAlign w:val="center"/>
          </w:tcPr>
          <w:p w14:paraId="1E3C6836">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在厂区西南角设置废旧设备堆场，占地面积313m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w:t>
            </w:r>
          </w:p>
        </w:tc>
        <w:tc>
          <w:tcPr>
            <w:tcW w:w="415" w:type="pct"/>
            <w:noWrap w:val="0"/>
            <w:vAlign w:val="center"/>
          </w:tcPr>
          <w:p w14:paraId="24AB2595">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5B56A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65AE98D2">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noWrap w:val="0"/>
            <w:vAlign w:val="center"/>
          </w:tcPr>
          <w:p w14:paraId="2290DE50">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运输</w:t>
            </w:r>
          </w:p>
        </w:tc>
        <w:tc>
          <w:tcPr>
            <w:tcW w:w="1930" w:type="pct"/>
            <w:noWrap w:val="0"/>
            <w:vAlign w:val="center"/>
          </w:tcPr>
          <w:p w14:paraId="7FE59D48">
            <w:pPr>
              <w:widowControl w:val="0"/>
              <w:spacing w:line="240" w:lineRule="auto"/>
              <w:ind w:firstLine="0" w:firstLineChars="0"/>
              <w:jc w:val="center"/>
              <w:rPr>
                <w:rFonts w:hint="default" w:ascii="Times New Roman" w:hAnsi="Times New Roman" w:eastAsia="宋体" w:cs="Times New Roman"/>
                <w:b w:val="0"/>
                <w:bCs/>
                <w:kern w:val="2"/>
                <w:sz w:val="21"/>
                <w:szCs w:val="21"/>
                <w:highlight w:val="yellow"/>
              </w:rPr>
            </w:pPr>
            <w:r>
              <w:rPr>
                <w:rFonts w:hint="default" w:ascii="Times New Roman" w:hAnsi="Times New Roman" w:eastAsia="宋体" w:cs="Times New Roman"/>
                <w:b w:val="0"/>
                <w:bCs/>
                <w:kern w:val="2"/>
                <w:sz w:val="21"/>
                <w:szCs w:val="21"/>
              </w:rPr>
              <w:t>本项目原辅材料及成品主要采用公路运输，原料运输外委社会运输单位。产品及其它运出物料由购买单位自行运输，本公司不负责运输任务。</w:t>
            </w:r>
          </w:p>
        </w:tc>
        <w:tc>
          <w:tcPr>
            <w:tcW w:w="1835" w:type="pct"/>
            <w:noWrap w:val="0"/>
            <w:vAlign w:val="center"/>
          </w:tcPr>
          <w:p w14:paraId="747DA5C6">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本项目原辅材料及成品主要采用公路运输，原料运输外委社会运输单位。产品及其它运出物料由购买单位自行运输，本公司不负责运输任务。</w:t>
            </w:r>
          </w:p>
        </w:tc>
        <w:tc>
          <w:tcPr>
            <w:tcW w:w="415" w:type="pct"/>
            <w:noWrap w:val="0"/>
            <w:vAlign w:val="center"/>
          </w:tcPr>
          <w:p w14:paraId="0C4CA59E">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735B7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restart"/>
            <w:noWrap w:val="0"/>
            <w:vAlign w:val="center"/>
          </w:tcPr>
          <w:p w14:paraId="238DD796">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环保工程</w:t>
            </w:r>
          </w:p>
        </w:tc>
        <w:tc>
          <w:tcPr>
            <w:tcW w:w="551" w:type="pct"/>
            <w:vMerge w:val="restart"/>
            <w:noWrap w:val="0"/>
            <w:vAlign w:val="center"/>
          </w:tcPr>
          <w:p w14:paraId="54FD551E">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废气处理工程</w:t>
            </w:r>
          </w:p>
        </w:tc>
        <w:tc>
          <w:tcPr>
            <w:tcW w:w="1930" w:type="pct"/>
            <w:noWrap w:val="0"/>
            <w:vAlign w:val="center"/>
          </w:tcPr>
          <w:p w14:paraId="18F1D49B">
            <w:pPr>
              <w:widowControl w:val="0"/>
              <w:spacing w:line="240" w:lineRule="auto"/>
              <w:ind w:firstLine="0" w:firstLineChars="0"/>
              <w:jc w:val="center"/>
              <w:rPr>
                <w:rFonts w:hint="eastAsia" w:ascii="Times New Roman" w:hAnsi="Times New Roman" w:eastAsia="宋体" w:cs="Times New Roman"/>
                <w:b w:val="0"/>
                <w:bCs/>
                <w:kern w:val="2"/>
                <w:sz w:val="21"/>
                <w:szCs w:val="21"/>
                <w:lang w:val="en-US" w:eastAsia="zh-CN"/>
              </w:rPr>
            </w:pPr>
            <w:r>
              <w:rPr>
                <w:rFonts w:hint="eastAsia" w:ascii="Times New Roman" w:hAnsi="Times New Roman" w:eastAsia="宋体" w:cs="Times New Roman"/>
                <w:b w:val="0"/>
                <w:bCs/>
                <w:kern w:val="2"/>
                <w:sz w:val="21"/>
                <w:szCs w:val="21"/>
                <w:lang w:val="en-US" w:eastAsia="zh-CN"/>
              </w:rPr>
              <w:t>根据一般变动分析：</w:t>
            </w:r>
          </w:p>
          <w:p w14:paraId="06F249DD">
            <w:pPr>
              <w:widowControl w:val="0"/>
              <w:spacing w:line="240" w:lineRule="auto"/>
              <w:ind w:firstLine="0" w:firstLineChars="0"/>
              <w:jc w:val="center"/>
              <w:rPr>
                <w:rFonts w:hint="eastAsia" w:ascii="Times New Roman" w:hAnsi="Times New Roman" w:eastAsia="宋体" w:cs="Times New Roman"/>
                <w:b w:val="0"/>
                <w:bCs/>
                <w:kern w:val="2"/>
                <w:sz w:val="21"/>
                <w:szCs w:val="21"/>
                <w:lang w:val="en-US" w:eastAsia="zh-CN"/>
              </w:rPr>
            </w:pPr>
            <w:r>
              <w:rPr>
                <w:rFonts w:hint="eastAsia" w:ascii="Times New Roman" w:hAnsi="Times New Roman" w:eastAsia="宋体" w:cs="Times New Roman"/>
                <w:b w:val="0"/>
                <w:bCs/>
                <w:kern w:val="2"/>
                <w:sz w:val="21"/>
                <w:szCs w:val="21"/>
                <w:lang w:val="en-US" w:eastAsia="zh-CN"/>
              </w:rPr>
              <w:t>①</w:t>
            </w:r>
            <w:r>
              <w:rPr>
                <w:rFonts w:hint="eastAsia" w:ascii="Times New Roman" w:hAnsi="Times New Roman" w:eastAsia="宋体" w:cs="Times New Roman"/>
                <w:b w:val="0"/>
                <w:bCs/>
                <w:kern w:val="2"/>
                <w:sz w:val="21"/>
                <w:szCs w:val="21"/>
              </w:rPr>
              <w:t>含卤</w:t>
            </w:r>
            <w:r>
              <w:rPr>
                <w:rFonts w:hint="eastAsia" w:ascii="Times New Roman" w:hAnsi="Times New Roman" w:eastAsia="宋体" w:cs="Times New Roman"/>
                <w:b w:val="0"/>
                <w:bCs/>
                <w:kern w:val="2"/>
                <w:sz w:val="21"/>
                <w:szCs w:val="21"/>
                <w:lang w:val="en-US" w:eastAsia="zh-CN"/>
              </w:rPr>
              <w:t>废气经</w:t>
            </w:r>
            <w:r>
              <w:rPr>
                <w:rFonts w:hint="eastAsia" w:ascii="Times New Roman" w:hAnsi="Times New Roman" w:eastAsia="宋体" w:cs="Times New Roman"/>
                <w:b w:val="0"/>
                <w:bCs/>
                <w:kern w:val="2"/>
                <w:sz w:val="21"/>
                <w:szCs w:val="21"/>
                <w:lang w:eastAsia="zh-CN"/>
              </w:rPr>
              <w:t>“</w:t>
            </w:r>
            <w:r>
              <w:rPr>
                <w:rFonts w:hint="eastAsia" w:ascii="Times New Roman" w:hAnsi="Times New Roman" w:eastAsia="宋体" w:cs="Times New Roman"/>
                <w:b w:val="0"/>
                <w:bCs/>
                <w:kern w:val="2"/>
                <w:sz w:val="21"/>
                <w:szCs w:val="21"/>
              </w:rPr>
              <w:t>深冷+碱喷淋+活性炭吸附</w:t>
            </w:r>
            <w:r>
              <w:rPr>
                <w:rFonts w:hint="eastAsia" w:ascii="Times New Roman" w:hAnsi="Times New Roman" w:eastAsia="宋体" w:cs="Times New Roman"/>
                <w:b w:val="0"/>
                <w:bCs/>
                <w:kern w:val="2"/>
                <w:sz w:val="21"/>
                <w:szCs w:val="21"/>
                <w:lang w:eastAsia="zh-CN"/>
              </w:rPr>
              <w:t>”</w:t>
            </w:r>
            <w:r>
              <w:rPr>
                <w:rFonts w:hint="eastAsia" w:ascii="Times New Roman" w:hAnsi="Times New Roman" w:eastAsia="宋体" w:cs="Times New Roman"/>
                <w:b w:val="0"/>
                <w:bCs/>
                <w:kern w:val="2"/>
                <w:sz w:val="21"/>
                <w:szCs w:val="21"/>
              </w:rPr>
              <w:t>处理后经104车间排气筒（原103车间DA002排气筒）排放</w:t>
            </w:r>
            <w:r>
              <w:rPr>
                <w:rFonts w:hint="eastAsia" w:ascii="Times New Roman" w:hAnsi="Times New Roman" w:eastAsia="宋体" w:cs="Times New Roman"/>
                <w:b w:val="0"/>
                <w:bCs/>
                <w:kern w:val="2"/>
                <w:sz w:val="21"/>
                <w:szCs w:val="21"/>
                <w:lang w:eastAsia="zh-CN"/>
              </w:rPr>
              <w:t>。</w:t>
            </w:r>
          </w:p>
          <w:p w14:paraId="751154A1">
            <w:pPr>
              <w:widowControl/>
              <w:adjustRightInd/>
              <w:snapToGrid/>
              <w:spacing w:line="240" w:lineRule="auto"/>
              <w:ind w:firstLine="0" w:firstLineChars="0"/>
              <w:jc w:val="left"/>
              <w:rPr>
                <w:rFonts w:hint="default" w:ascii="Times New Roman" w:hAnsi="Times New Roman" w:eastAsia="宋体" w:cs="Times New Roman"/>
                <w:b w:val="0"/>
                <w:bCs/>
                <w:kern w:val="2"/>
                <w:sz w:val="21"/>
                <w:szCs w:val="21"/>
              </w:rPr>
            </w:pPr>
            <w:r>
              <w:rPr>
                <w:rFonts w:hint="eastAsia" w:ascii="Times New Roman" w:hAnsi="Times New Roman" w:eastAsia="宋体" w:cs="Times New Roman"/>
                <w:b w:val="0"/>
                <w:bCs/>
                <w:kern w:val="2"/>
                <w:sz w:val="21"/>
                <w:szCs w:val="21"/>
                <w:lang w:val="en-US" w:eastAsia="zh-CN"/>
              </w:rPr>
              <w:t>②</w:t>
            </w:r>
            <w:r>
              <w:rPr>
                <w:rFonts w:hint="eastAsia" w:ascii="Times New Roman" w:hAnsi="Times New Roman" w:eastAsia="宋体" w:cs="Times New Roman"/>
                <w:b w:val="0"/>
                <w:bCs/>
                <w:kern w:val="2"/>
                <w:sz w:val="21"/>
                <w:szCs w:val="21"/>
              </w:rPr>
              <w:t>无卤废气</w:t>
            </w:r>
            <w:r>
              <w:rPr>
                <w:rFonts w:hint="eastAsia" w:ascii="Times New Roman" w:hAnsi="Times New Roman" w:eastAsia="宋体" w:cs="Times New Roman"/>
                <w:spacing w:val="0"/>
                <w:kern w:val="0"/>
                <w:sz w:val="21"/>
              </w:rPr>
              <w:t>经RTO燃烧装置处理后经25米高排气筒排放。</w:t>
            </w:r>
          </w:p>
        </w:tc>
        <w:tc>
          <w:tcPr>
            <w:tcW w:w="1835" w:type="pct"/>
            <w:noWrap w:val="0"/>
            <w:vAlign w:val="center"/>
          </w:tcPr>
          <w:p w14:paraId="57A081EA">
            <w:pPr>
              <w:widowControl w:val="0"/>
              <w:spacing w:line="240" w:lineRule="auto"/>
              <w:ind w:firstLine="0" w:firstLineChars="0"/>
              <w:jc w:val="center"/>
              <w:rPr>
                <w:rFonts w:hint="eastAsia" w:ascii="Times New Roman" w:hAnsi="Times New Roman" w:eastAsia="宋体" w:cs="Times New Roman"/>
                <w:b w:val="0"/>
                <w:bCs/>
                <w:kern w:val="2"/>
                <w:sz w:val="21"/>
                <w:szCs w:val="21"/>
                <w:lang w:val="en-US" w:eastAsia="zh-CN"/>
              </w:rPr>
            </w:pPr>
            <w:r>
              <w:rPr>
                <w:rFonts w:hint="eastAsia" w:ascii="Times New Roman" w:hAnsi="Times New Roman" w:eastAsia="宋体" w:cs="Times New Roman"/>
                <w:b w:val="0"/>
                <w:bCs/>
                <w:kern w:val="2"/>
                <w:sz w:val="21"/>
                <w:szCs w:val="21"/>
                <w:lang w:val="en-US" w:eastAsia="zh-CN"/>
              </w:rPr>
              <w:t>①</w:t>
            </w:r>
            <w:r>
              <w:rPr>
                <w:rFonts w:hint="eastAsia" w:ascii="Times New Roman" w:hAnsi="Times New Roman" w:eastAsia="宋体" w:cs="Times New Roman"/>
                <w:b w:val="0"/>
                <w:bCs/>
                <w:kern w:val="2"/>
                <w:sz w:val="21"/>
                <w:szCs w:val="21"/>
              </w:rPr>
              <w:t>含卤</w:t>
            </w:r>
            <w:r>
              <w:rPr>
                <w:rFonts w:hint="eastAsia" w:ascii="Times New Roman" w:hAnsi="Times New Roman" w:eastAsia="宋体" w:cs="Times New Roman"/>
                <w:b w:val="0"/>
                <w:bCs/>
                <w:kern w:val="2"/>
                <w:sz w:val="21"/>
                <w:szCs w:val="21"/>
                <w:lang w:val="en-US" w:eastAsia="zh-CN"/>
              </w:rPr>
              <w:t>废气经</w:t>
            </w:r>
            <w:r>
              <w:rPr>
                <w:rFonts w:hint="eastAsia" w:ascii="Times New Roman" w:hAnsi="Times New Roman" w:eastAsia="宋体" w:cs="Times New Roman"/>
                <w:b w:val="0"/>
                <w:bCs/>
                <w:kern w:val="2"/>
                <w:sz w:val="21"/>
                <w:szCs w:val="21"/>
                <w:lang w:eastAsia="zh-CN"/>
              </w:rPr>
              <w:t>“</w:t>
            </w:r>
            <w:r>
              <w:rPr>
                <w:rFonts w:hint="eastAsia" w:ascii="Times New Roman" w:hAnsi="Times New Roman" w:eastAsia="宋体" w:cs="Times New Roman"/>
                <w:b w:val="0"/>
                <w:bCs/>
                <w:kern w:val="2"/>
                <w:sz w:val="21"/>
                <w:szCs w:val="21"/>
              </w:rPr>
              <w:t>深冷+碱喷淋+活性炭吸附</w:t>
            </w:r>
            <w:r>
              <w:rPr>
                <w:rFonts w:hint="eastAsia" w:ascii="Times New Roman" w:hAnsi="Times New Roman" w:eastAsia="宋体" w:cs="Times New Roman"/>
                <w:b w:val="0"/>
                <w:bCs/>
                <w:kern w:val="2"/>
                <w:sz w:val="21"/>
                <w:szCs w:val="21"/>
                <w:lang w:eastAsia="zh-CN"/>
              </w:rPr>
              <w:t>”</w:t>
            </w:r>
            <w:r>
              <w:rPr>
                <w:rFonts w:hint="eastAsia" w:ascii="Times New Roman" w:hAnsi="Times New Roman" w:eastAsia="宋体" w:cs="Times New Roman"/>
                <w:b w:val="0"/>
                <w:bCs/>
                <w:kern w:val="2"/>
                <w:sz w:val="21"/>
                <w:szCs w:val="21"/>
              </w:rPr>
              <w:t>处理后经104车间排气筒（原103车间DA002排气筒）排放</w:t>
            </w:r>
            <w:r>
              <w:rPr>
                <w:rFonts w:hint="eastAsia" w:ascii="Times New Roman" w:hAnsi="Times New Roman" w:eastAsia="宋体" w:cs="Times New Roman"/>
                <w:b w:val="0"/>
                <w:bCs/>
                <w:kern w:val="2"/>
                <w:sz w:val="21"/>
                <w:szCs w:val="21"/>
                <w:lang w:eastAsia="zh-CN"/>
              </w:rPr>
              <w:t>。</w:t>
            </w:r>
          </w:p>
          <w:p w14:paraId="0C513A83">
            <w:pPr>
              <w:widowControl w:val="0"/>
              <w:spacing w:line="240" w:lineRule="auto"/>
              <w:ind w:firstLine="0" w:firstLineChars="0"/>
              <w:jc w:val="center"/>
              <w:rPr>
                <w:rFonts w:hint="default" w:ascii="Times New Roman" w:hAnsi="Times New Roman" w:eastAsia="宋体" w:cs="Times New Roman"/>
                <w:b w:val="0"/>
                <w:bCs/>
                <w:color w:val="auto"/>
                <w:kern w:val="2"/>
                <w:sz w:val="21"/>
                <w:szCs w:val="21"/>
                <w:lang w:val="en-US" w:eastAsia="zh-CN"/>
              </w:rPr>
            </w:pPr>
            <w:r>
              <w:rPr>
                <w:rFonts w:hint="eastAsia" w:ascii="Times New Roman" w:hAnsi="Times New Roman" w:eastAsia="宋体" w:cs="Times New Roman"/>
                <w:b w:val="0"/>
                <w:bCs/>
                <w:kern w:val="2"/>
                <w:sz w:val="21"/>
                <w:szCs w:val="21"/>
                <w:lang w:val="en-US" w:eastAsia="zh-CN"/>
              </w:rPr>
              <w:t>②</w:t>
            </w:r>
            <w:r>
              <w:rPr>
                <w:rFonts w:hint="eastAsia" w:ascii="Times New Roman" w:hAnsi="Times New Roman" w:eastAsia="宋体" w:cs="Times New Roman"/>
                <w:b w:val="0"/>
                <w:bCs/>
                <w:kern w:val="2"/>
                <w:sz w:val="21"/>
                <w:szCs w:val="21"/>
              </w:rPr>
              <w:t>无卤废气</w:t>
            </w:r>
            <w:r>
              <w:rPr>
                <w:rFonts w:hint="eastAsia" w:ascii="Times New Roman" w:hAnsi="Times New Roman" w:eastAsia="宋体" w:cs="Times New Roman"/>
                <w:spacing w:val="0"/>
                <w:kern w:val="0"/>
                <w:sz w:val="21"/>
              </w:rPr>
              <w:t>经RTO燃烧装置处理后经25米高排气筒排放。</w:t>
            </w:r>
          </w:p>
        </w:tc>
        <w:tc>
          <w:tcPr>
            <w:tcW w:w="415" w:type="pct"/>
            <w:noWrap w:val="0"/>
            <w:vAlign w:val="center"/>
          </w:tcPr>
          <w:p w14:paraId="6F4C8797">
            <w:pPr>
              <w:widowControl w:val="0"/>
              <w:spacing w:line="240" w:lineRule="auto"/>
              <w:ind w:firstLine="0" w:firstLineChars="0"/>
              <w:jc w:val="center"/>
              <w:rPr>
                <w:rFonts w:hint="default" w:ascii="Times New Roman" w:hAnsi="Times New Roman" w:eastAsia="宋体" w:cs="Times New Roman"/>
                <w:b w:val="0"/>
                <w:bCs/>
                <w:color w:val="auto"/>
                <w:kern w:val="2"/>
                <w:sz w:val="21"/>
                <w:szCs w:val="21"/>
                <w:lang w:val="en-US" w:eastAsia="zh-CN"/>
              </w:rPr>
            </w:pPr>
            <w:r>
              <w:rPr>
                <w:rFonts w:hint="default" w:ascii="Times New Roman" w:hAnsi="Times New Roman" w:eastAsia="宋体" w:cs="Times New Roman"/>
                <w:b w:val="0"/>
                <w:bCs/>
                <w:kern w:val="2"/>
                <w:sz w:val="21"/>
                <w:szCs w:val="21"/>
                <w:lang w:val="en-US" w:eastAsia="zh-CN"/>
              </w:rPr>
              <w:t>一致</w:t>
            </w:r>
          </w:p>
        </w:tc>
      </w:tr>
      <w:tr w14:paraId="66074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3A78371B">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vMerge w:val="continue"/>
            <w:noWrap w:val="0"/>
            <w:vAlign w:val="center"/>
          </w:tcPr>
          <w:p w14:paraId="3A769254">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1930" w:type="pct"/>
            <w:noWrap w:val="0"/>
            <w:vAlign w:val="center"/>
          </w:tcPr>
          <w:p w14:paraId="49CE810A">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w:t>
            </w:r>
            <w:r>
              <w:rPr>
                <w:rFonts w:hint="default" w:ascii="Times New Roman" w:hAnsi="Times New Roman" w:eastAsia="宋体" w:cs="Times New Roman"/>
                <w:b w:val="0"/>
                <w:bCs/>
                <w:kern w:val="0"/>
                <w:sz w:val="21"/>
                <w:szCs w:val="21"/>
              </w:rPr>
              <w:t>储罐区呼吸废气+危废库废气：共同收集处理，采用“</w:t>
            </w:r>
            <w:r>
              <w:rPr>
                <w:rFonts w:hint="default" w:ascii="Times New Roman" w:hAnsi="Times New Roman" w:eastAsia="宋体" w:cs="Times New Roman"/>
                <w:b w:val="0"/>
                <w:bCs/>
                <w:kern w:val="2"/>
                <w:sz w:val="21"/>
                <w:szCs w:val="21"/>
              </w:rPr>
              <w:t>一级碱洗喷淋塔+干燥+二级活性炭吸附</w:t>
            </w:r>
            <w:r>
              <w:rPr>
                <w:rFonts w:hint="default" w:ascii="Times New Roman" w:hAnsi="Times New Roman" w:eastAsia="宋体" w:cs="Times New Roman"/>
                <w:b w:val="0"/>
                <w:bCs/>
                <w:kern w:val="0"/>
                <w:sz w:val="21"/>
                <w:szCs w:val="21"/>
              </w:rPr>
              <w:t>”工艺，设计风量为</w:t>
            </w:r>
            <w:r>
              <w:rPr>
                <w:rFonts w:hint="default" w:ascii="Times New Roman" w:hAnsi="Times New Roman" w:eastAsia="宋体" w:cs="Times New Roman"/>
                <w:b w:val="0"/>
                <w:bCs/>
                <w:kern w:val="2"/>
                <w:sz w:val="21"/>
                <w:szCs w:val="21"/>
              </w:rPr>
              <w:t>25000m</w:t>
            </w:r>
            <w:r>
              <w:rPr>
                <w:rFonts w:hint="default" w:ascii="Times New Roman" w:hAnsi="Times New Roman" w:eastAsia="宋体" w:cs="Times New Roman"/>
                <w:b w:val="0"/>
                <w:bCs/>
                <w:kern w:val="2"/>
                <w:sz w:val="21"/>
                <w:szCs w:val="21"/>
                <w:vertAlign w:val="superscript"/>
              </w:rPr>
              <w:t>3</w:t>
            </w:r>
            <w:r>
              <w:rPr>
                <w:rFonts w:hint="default" w:ascii="Times New Roman" w:hAnsi="Times New Roman" w:eastAsia="宋体" w:cs="Times New Roman"/>
                <w:b w:val="0"/>
                <w:bCs/>
                <w:kern w:val="2"/>
                <w:sz w:val="21"/>
                <w:szCs w:val="21"/>
              </w:rPr>
              <w:t>/h，废气处理设施编号为6#设施，排气筒DA006（25米高）。</w:t>
            </w:r>
          </w:p>
        </w:tc>
        <w:tc>
          <w:tcPr>
            <w:tcW w:w="1835" w:type="pct"/>
            <w:noWrap w:val="0"/>
            <w:vAlign w:val="center"/>
          </w:tcPr>
          <w:p w14:paraId="7EA790AD">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sz w:val="21"/>
                <w:szCs w:val="21"/>
                <w:lang w:val="en-US" w:eastAsia="zh-CN" w:bidi="ar-SA"/>
              </w:rPr>
              <w:t>罐区废气及危废库废气经过二级活性炭吸附+25m排气筒排放；</w:t>
            </w:r>
          </w:p>
        </w:tc>
        <w:tc>
          <w:tcPr>
            <w:tcW w:w="415" w:type="pct"/>
            <w:noWrap w:val="0"/>
            <w:vAlign w:val="center"/>
          </w:tcPr>
          <w:p w14:paraId="25AD05A0">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1B13F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jc w:val="center"/>
        </w:trPr>
        <w:tc>
          <w:tcPr>
            <w:tcW w:w="267" w:type="pct"/>
            <w:vMerge w:val="continue"/>
            <w:noWrap w:val="0"/>
            <w:vAlign w:val="center"/>
          </w:tcPr>
          <w:p w14:paraId="6DE51C77">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rPr>
            </w:pPr>
          </w:p>
        </w:tc>
        <w:tc>
          <w:tcPr>
            <w:tcW w:w="551" w:type="pct"/>
            <w:vMerge w:val="continue"/>
            <w:noWrap w:val="0"/>
            <w:vAlign w:val="center"/>
          </w:tcPr>
          <w:p w14:paraId="4DAA3F70">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1930" w:type="pct"/>
            <w:noWrap w:val="0"/>
            <w:vAlign w:val="center"/>
          </w:tcPr>
          <w:p w14:paraId="7F969544">
            <w:pPr>
              <w:widowControl w:val="0"/>
              <w:spacing w:line="240" w:lineRule="auto"/>
              <w:ind w:firstLine="0" w:firstLineChars="0"/>
              <w:jc w:val="center"/>
              <w:rPr>
                <w:rFonts w:hint="default" w:ascii="Times New Roman" w:hAnsi="Times New Roman" w:eastAsia="宋体" w:cs="Times New Roman"/>
                <w:b w:val="0"/>
                <w:bCs/>
                <w:kern w:val="2"/>
                <w:sz w:val="21"/>
                <w:szCs w:val="21"/>
                <w:lang w:val="en-US" w:eastAsia="zh-CN"/>
              </w:rPr>
            </w:pPr>
            <w:r>
              <w:rPr>
                <w:rFonts w:hint="default" w:ascii="Times New Roman" w:hAnsi="Times New Roman" w:eastAsia="宋体" w:cs="Times New Roman"/>
                <w:b w:val="0"/>
                <w:bCs/>
                <w:kern w:val="2"/>
                <w:sz w:val="21"/>
                <w:szCs w:val="21"/>
              </w:rPr>
              <w:t>（3）污水处理站废气：包括污水处理恶臭气体及高盐废水蒸馏废气，共同收集处理，采用“碱洗喷淋塔+</w:t>
            </w:r>
            <w:r>
              <w:rPr>
                <w:rFonts w:hint="default" w:ascii="Times New Roman" w:hAnsi="Times New Roman" w:eastAsia="宋体" w:cs="Times New Roman"/>
                <w:b w:val="0"/>
                <w:bCs/>
                <w:kern w:val="2"/>
                <w:sz w:val="21"/>
                <w:szCs w:val="21"/>
                <w:lang w:eastAsia="zh-CN"/>
              </w:rPr>
              <w:t>生物滤池</w:t>
            </w:r>
            <w:r>
              <w:rPr>
                <w:rFonts w:hint="default" w:ascii="Times New Roman" w:hAnsi="Times New Roman" w:eastAsia="宋体" w:cs="Times New Roman"/>
                <w:b w:val="0"/>
                <w:bCs/>
                <w:kern w:val="2"/>
                <w:sz w:val="21"/>
                <w:szCs w:val="21"/>
              </w:rPr>
              <w:t>”工艺，设计风量为9000m</w:t>
            </w:r>
            <w:r>
              <w:rPr>
                <w:rFonts w:hint="default" w:ascii="Times New Roman" w:hAnsi="Times New Roman" w:eastAsia="宋体" w:cs="Times New Roman"/>
                <w:b w:val="0"/>
                <w:bCs/>
                <w:kern w:val="2"/>
                <w:sz w:val="21"/>
                <w:szCs w:val="21"/>
                <w:vertAlign w:val="superscript"/>
              </w:rPr>
              <w:t>3</w:t>
            </w:r>
            <w:r>
              <w:rPr>
                <w:rFonts w:hint="default" w:ascii="Times New Roman" w:hAnsi="Times New Roman" w:eastAsia="宋体" w:cs="Times New Roman"/>
                <w:b w:val="0"/>
                <w:bCs/>
                <w:kern w:val="2"/>
                <w:sz w:val="21"/>
                <w:szCs w:val="21"/>
              </w:rPr>
              <w:t>/h，废气处理设施编号为7#设施，排气筒DA007（25米高）。新建</w:t>
            </w:r>
            <w:r>
              <w:rPr>
                <w:rFonts w:hint="default" w:ascii="Times New Roman" w:hAnsi="Times New Roman" w:eastAsia="宋体" w:cs="Times New Roman"/>
                <w:b w:val="0"/>
                <w:bCs/>
                <w:kern w:val="2"/>
                <w:sz w:val="21"/>
                <w:szCs w:val="21"/>
                <w:lang w:val="en-US" w:eastAsia="zh-CN"/>
              </w:rPr>
              <w:t>2</w:t>
            </w:r>
            <w:r>
              <w:rPr>
                <w:rFonts w:hint="default" w:ascii="Times New Roman" w:hAnsi="Times New Roman" w:eastAsia="宋体" w:cs="Times New Roman"/>
                <w:b w:val="0"/>
                <w:bCs/>
                <w:kern w:val="2"/>
                <w:sz w:val="21"/>
                <w:szCs w:val="21"/>
              </w:rPr>
              <w:t>个用于存储CEC</w:t>
            </w:r>
            <w:r>
              <w:rPr>
                <w:rFonts w:hint="default" w:ascii="Times New Roman" w:hAnsi="Times New Roman" w:eastAsia="宋体" w:cs="Times New Roman"/>
                <w:b w:val="0"/>
                <w:bCs/>
                <w:kern w:val="2"/>
                <w:sz w:val="21"/>
                <w:szCs w:val="21"/>
                <w:lang w:val="en-US" w:eastAsia="zh-CN"/>
              </w:rPr>
              <w:t>的2</w:t>
            </w:r>
            <w:r>
              <w:rPr>
                <w:rFonts w:hint="default" w:ascii="Times New Roman" w:hAnsi="Times New Roman" w:eastAsia="宋体" w:cs="Times New Roman"/>
                <w:b w:val="0"/>
                <w:bCs/>
                <w:kern w:val="2"/>
                <w:sz w:val="21"/>
                <w:szCs w:val="21"/>
              </w:rPr>
              <w:t>00立方储罐</w:t>
            </w:r>
            <w:r>
              <w:rPr>
                <w:rFonts w:hint="default" w:ascii="Times New Roman" w:hAnsi="Times New Roman" w:eastAsia="宋体" w:cs="Times New Roman"/>
                <w:b w:val="0"/>
                <w:bCs/>
                <w:kern w:val="2"/>
                <w:sz w:val="21"/>
                <w:szCs w:val="21"/>
                <w:lang w:val="en-US" w:eastAsia="zh-CN"/>
              </w:rPr>
              <w:t>呼吸废气通过此处理设施处理。</w:t>
            </w:r>
          </w:p>
        </w:tc>
        <w:tc>
          <w:tcPr>
            <w:tcW w:w="1835" w:type="pct"/>
            <w:noWrap w:val="0"/>
            <w:vAlign w:val="center"/>
          </w:tcPr>
          <w:p w14:paraId="4A0A8DC2">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center"/>
              <w:textAlignment w:val="auto"/>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污水处理站废气经过碱洗喷淋塔+生物滤池+25m排气筒排放。</w:t>
            </w:r>
          </w:p>
          <w:p w14:paraId="32D59448">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415" w:type="pct"/>
            <w:noWrap w:val="0"/>
            <w:vAlign w:val="center"/>
          </w:tcPr>
          <w:p w14:paraId="7A66EB7C">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6C017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494B0A91">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highlight w:val="yellow"/>
              </w:rPr>
            </w:pPr>
          </w:p>
        </w:tc>
        <w:tc>
          <w:tcPr>
            <w:tcW w:w="551" w:type="pct"/>
            <w:vMerge w:val="restart"/>
            <w:noWrap w:val="0"/>
            <w:vAlign w:val="center"/>
          </w:tcPr>
          <w:p w14:paraId="72D41DA3">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废水处理工程</w:t>
            </w:r>
          </w:p>
        </w:tc>
        <w:tc>
          <w:tcPr>
            <w:tcW w:w="1930" w:type="pct"/>
            <w:noWrap w:val="0"/>
            <w:vAlign w:val="center"/>
          </w:tcPr>
          <w:p w14:paraId="28ABDD68">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（1）高盐废水处理：建设一套</w:t>
            </w:r>
            <w:r>
              <w:rPr>
                <w:rFonts w:hint="default" w:ascii="Times New Roman" w:hAnsi="Times New Roman" w:eastAsia="宋体" w:cs="Times New Roman"/>
                <w:b w:val="0"/>
                <w:bCs/>
                <w:kern w:val="2"/>
                <w:sz w:val="21"/>
                <w:szCs w:val="21"/>
                <w:lang w:val="en-US" w:eastAsia="zh-CN"/>
              </w:rPr>
              <w:t>100</w:t>
            </w:r>
            <w:r>
              <w:rPr>
                <w:rFonts w:hint="default" w:ascii="Times New Roman" w:hAnsi="Times New Roman" w:eastAsia="宋体" w:cs="Times New Roman"/>
                <w:b w:val="0"/>
                <w:bCs/>
                <w:kern w:val="2"/>
                <w:sz w:val="21"/>
                <w:szCs w:val="21"/>
              </w:rPr>
              <w:t>t/d的高盐废水处理装置</w:t>
            </w:r>
          </w:p>
        </w:tc>
        <w:tc>
          <w:tcPr>
            <w:tcW w:w="1835" w:type="pct"/>
            <w:vMerge w:val="restart"/>
            <w:noWrap w:val="0"/>
            <w:vAlign w:val="center"/>
          </w:tcPr>
          <w:p w14:paraId="3DA540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本项目无高浓废水和高盐废水厂区生活污水依托现有厂区污水处理站；厂区污水处理站处理工艺：</w:t>
            </w:r>
          </w:p>
          <w:p w14:paraId="08EA6839">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kern w:val="2"/>
                <w:sz w:val="21"/>
                <w:szCs w:val="21"/>
                <w:lang w:val="en-US" w:eastAsia="zh-CN"/>
              </w:rPr>
              <w:t>高浓废水经过高浓废水处理装置（高浓度废水收集池+气浮池+过滤器+高级氧化装置）预处理；高盐废水经过高盐废水处理装置（高盐废水收集池+多效蒸发）预处理；与其它低浓废水一起进入综合调节池进行后续处置（初沉池+水解酸化池+配水池+IC厌氧池+二级A/O+二沉池），处理后达到安庆亚同城西污水处理厂接管标准通过厂区排口集中排入安庆亚同城西污水处理厂。</w:t>
            </w:r>
          </w:p>
        </w:tc>
        <w:tc>
          <w:tcPr>
            <w:tcW w:w="415" w:type="pct"/>
            <w:vMerge w:val="restart"/>
            <w:noWrap w:val="0"/>
            <w:vAlign w:val="center"/>
          </w:tcPr>
          <w:p w14:paraId="245BA193">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04053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1B14811B">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highlight w:val="yellow"/>
              </w:rPr>
            </w:pPr>
          </w:p>
        </w:tc>
        <w:tc>
          <w:tcPr>
            <w:tcW w:w="551" w:type="pct"/>
            <w:vMerge w:val="continue"/>
            <w:noWrap w:val="0"/>
            <w:vAlign w:val="center"/>
          </w:tcPr>
          <w:p w14:paraId="754CA1A2">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1930" w:type="pct"/>
            <w:noWrap w:val="0"/>
            <w:vAlign w:val="center"/>
          </w:tcPr>
          <w:p w14:paraId="5D5F7A62">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（2）综合废水处理：建设一套综合废水处理设施，设计处理能力为</w:t>
            </w:r>
            <w:r>
              <w:rPr>
                <w:rFonts w:hint="default" w:ascii="Times New Roman" w:hAnsi="Times New Roman" w:eastAsia="宋体" w:cs="Times New Roman"/>
                <w:b w:val="0"/>
                <w:bCs/>
                <w:kern w:val="2"/>
                <w:sz w:val="21"/>
                <w:szCs w:val="21"/>
                <w:lang w:val="en-US" w:eastAsia="zh-CN"/>
              </w:rPr>
              <w:t>700</w:t>
            </w:r>
            <w:r>
              <w:rPr>
                <w:rFonts w:hint="default" w:ascii="Times New Roman" w:hAnsi="Times New Roman" w:eastAsia="宋体" w:cs="Times New Roman"/>
                <w:b w:val="0"/>
                <w:bCs/>
                <w:kern w:val="2"/>
                <w:sz w:val="21"/>
                <w:szCs w:val="21"/>
              </w:rPr>
              <w:t>t/d。处理工艺为：高浓水经“隔油气浮+多相催化氧化”预处理后，和其它废水进入综合调节池，采用“水解酸化+IC厌氧池+二级A/O+二沉池”处理。处理后通过厂区排口集中排入高新区污水处理厂。采用明管排放，一企一管进行管理，并安装在线监测设备。</w:t>
            </w:r>
          </w:p>
        </w:tc>
        <w:tc>
          <w:tcPr>
            <w:tcW w:w="1835" w:type="pct"/>
            <w:vMerge w:val="continue"/>
            <w:noWrap w:val="0"/>
            <w:vAlign w:val="center"/>
          </w:tcPr>
          <w:p w14:paraId="5EE03CCD">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c>
          <w:tcPr>
            <w:tcW w:w="415" w:type="pct"/>
            <w:vMerge w:val="continue"/>
            <w:noWrap w:val="0"/>
            <w:vAlign w:val="center"/>
          </w:tcPr>
          <w:p w14:paraId="554A56D9">
            <w:pPr>
              <w:widowControl w:val="0"/>
              <w:spacing w:line="240" w:lineRule="auto"/>
              <w:ind w:firstLine="0" w:firstLineChars="0"/>
              <w:jc w:val="center"/>
              <w:rPr>
                <w:rFonts w:hint="default" w:ascii="Times New Roman" w:hAnsi="Times New Roman" w:eastAsia="宋体" w:cs="Times New Roman"/>
                <w:b w:val="0"/>
                <w:bCs/>
                <w:kern w:val="2"/>
                <w:sz w:val="21"/>
                <w:szCs w:val="21"/>
              </w:rPr>
            </w:pPr>
          </w:p>
        </w:tc>
      </w:tr>
      <w:tr w14:paraId="79BED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271460AC">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highlight w:val="yellow"/>
              </w:rPr>
            </w:pPr>
          </w:p>
        </w:tc>
        <w:tc>
          <w:tcPr>
            <w:tcW w:w="551" w:type="pct"/>
            <w:noWrap w:val="0"/>
            <w:vAlign w:val="center"/>
          </w:tcPr>
          <w:p w14:paraId="273EBEF5">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固废处置</w:t>
            </w:r>
          </w:p>
        </w:tc>
        <w:tc>
          <w:tcPr>
            <w:tcW w:w="1930" w:type="pct"/>
            <w:noWrap w:val="0"/>
            <w:vAlign w:val="center"/>
          </w:tcPr>
          <w:p w14:paraId="20EF9453">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（1）危险固废仓库：建设危险废物仓库（203仓库），占地面积1464.29m</w:t>
            </w:r>
            <w:r>
              <w:rPr>
                <w:rFonts w:hint="default" w:ascii="Times New Roman" w:hAnsi="Times New Roman" w:eastAsia="宋体" w:cs="Times New Roman"/>
                <w:b w:val="0"/>
                <w:bCs/>
                <w:kern w:val="2"/>
                <w:sz w:val="21"/>
                <w:szCs w:val="21"/>
                <w:vertAlign w:val="superscript"/>
              </w:rPr>
              <w:t>2</w:t>
            </w:r>
            <w:r>
              <w:rPr>
                <w:rFonts w:hint="default" w:ascii="Times New Roman" w:hAnsi="Times New Roman" w:eastAsia="宋体" w:cs="Times New Roman"/>
                <w:b w:val="0"/>
                <w:bCs/>
                <w:kern w:val="2"/>
                <w:sz w:val="21"/>
                <w:szCs w:val="21"/>
              </w:rPr>
              <w:t>，有效存储能力为600吨，可实现厂区危险暂存2个月周期。满足要求；</w:t>
            </w:r>
          </w:p>
          <w:p w14:paraId="744A3071">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（2）一般固废：本项目一般固废主要为生活垃圾，采用垃圾收集桶收集后，由环卫部门定期清运。</w:t>
            </w:r>
          </w:p>
        </w:tc>
        <w:tc>
          <w:tcPr>
            <w:tcW w:w="1835" w:type="pct"/>
            <w:noWrap w:val="0"/>
            <w:vAlign w:val="center"/>
          </w:tcPr>
          <w:p w14:paraId="4DA44872">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（1）危险固废仓库：</w:t>
            </w:r>
            <w:r>
              <w:rPr>
                <w:rFonts w:hint="default" w:ascii="Times New Roman" w:hAnsi="Times New Roman" w:eastAsia="宋体" w:cs="Times New Roman"/>
                <w:color w:val="auto"/>
                <w:sz w:val="21"/>
                <w:szCs w:val="21"/>
                <w:highlight w:val="none"/>
                <w:lang w:val="en-US" w:eastAsia="zh-CN"/>
              </w:rPr>
              <w:t>危险废物仓库（203仓库），占地面积500m</w:t>
            </w:r>
            <w:r>
              <w:rPr>
                <w:rFonts w:hint="default" w:ascii="Times New Roman" w:hAnsi="Times New Roman" w:eastAsia="宋体" w:cs="Times New Roman"/>
                <w:color w:val="auto"/>
                <w:sz w:val="21"/>
                <w:szCs w:val="21"/>
                <w:highlight w:val="none"/>
                <w:vertAlign w:val="superscript"/>
                <w:lang w:val="en-US" w:eastAsia="zh-CN"/>
              </w:rPr>
              <w:t>2</w:t>
            </w:r>
            <w:r>
              <w:rPr>
                <w:rFonts w:hint="default" w:ascii="Times New Roman" w:hAnsi="Times New Roman" w:eastAsia="宋体" w:cs="Times New Roman"/>
                <w:color w:val="auto"/>
                <w:sz w:val="21"/>
                <w:szCs w:val="21"/>
                <w:highlight w:val="none"/>
                <w:lang w:val="en-US" w:eastAsia="zh-CN"/>
              </w:rPr>
              <w:t>，有效存储能力为500吨。</w:t>
            </w:r>
          </w:p>
          <w:p w14:paraId="3EC804DC">
            <w:pPr>
              <w:widowControl w:val="0"/>
              <w:spacing w:line="240" w:lineRule="auto"/>
              <w:ind w:firstLine="0" w:firstLineChars="0"/>
              <w:jc w:val="center"/>
              <w:rPr>
                <w:rFonts w:hint="default" w:ascii="Times New Roman" w:hAnsi="Times New Roman" w:eastAsia="宋体" w:cs="Times New Roman"/>
                <w:b w:val="0"/>
                <w:bCs/>
                <w:kern w:val="2"/>
                <w:sz w:val="21"/>
                <w:szCs w:val="21"/>
                <w:lang w:val="en-US" w:eastAsia="zh-CN"/>
              </w:rPr>
            </w:pPr>
            <w:r>
              <w:rPr>
                <w:rFonts w:hint="default" w:ascii="Times New Roman" w:hAnsi="Times New Roman" w:eastAsia="宋体" w:cs="Times New Roman"/>
                <w:b w:val="0"/>
                <w:bCs/>
                <w:kern w:val="2"/>
                <w:sz w:val="21"/>
                <w:szCs w:val="21"/>
              </w:rPr>
              <w:t>（2）一般固废：本项目一般固废主要为生活垃圾，采用垃圾收集桶收集后，由环卫部门定期清运。</w:t>
            </w:r>
            <w:r>
              <w:rPr>
                <w:rFonts w:hint="default" w:ascii="Times New Roman" w:hAnsi="Times New Roman" w:eastAsia="宋体" w:cs="Times New Roman"/>
                <w:b w:val="0"/>
                <w:bCs/>
                <w:kern w:val="2"/>
                <w:sz w:val="21"/>
                <w:szCs w:val="21"/>
                <w:lang w:val="en-US" w:eastAsia="zh-CN"/>
              </w:rPr>
              <w:t>增加副产三乙胺盐酸盐。</w:t>
            </w:r>
          </w:p>
        </w:tc>
        <w:tc>
          <w:tcPr>
            <w:tcW w:w="415" w:type="pct"/>
            <w:noWrap w:val="0"/>
            <w:vAlign w:val="center"/>
          </w:tcPr>
          <w:p w14:paraId="5E3E151F">
            <w:pPr>
              <w:widowControl w:val="0"/>
              <w:spacing w:line="240" w:lineRule="auto"/>
              <w:ind w:firstLine="0" w:firstLineChars="0"/>
              <w:jc w:val="center"/>
              <w:rPr>
                <w:rFonts w:hint="default" w:ascii="Times New Roman" w:hAnsi="Times New Roman" w:eastAsia="宋体" w:cs="Times New Roman"/>
                <w:b w:val="0"/>
                <w:bCs/>
                <w:kern w:val="2"/>
                <w:sz w:val="21"/>
                <w:szCs w:val="21"/>
                <w:lang w:val="en-US" w:eastAsia="zh-CN"/>
              </w:rPr>
            </w:pPr>
            <w:r>
              <w:rPr>
                <w:rFonts w:hint="default" w:ascii="Times New Roman" w:hAnsi="Times New Roman" w:eastAsia="宋体" w:cs="Times New Roman"/>
                <w:b w:val="0"/>
                <w:bCs/>
                <w:kern w:val="2"/>
                <w:sz w:val="21"/>
                <w:szCs w:val="21"/>
                <w:lang w:val="en-US" w:eastAsia="zh-CN"/>
              </w:rPr>
              <w:t>危险废物仓库减少，增加转运次数</w:t>
            </w:r>
            <w:r>
              <w:rPr>
                <w:rFonts w:hint="eastAsia" w:cs="Times New Roman"/>
                <w:b w:val="0"/>
                <w:bCs/>
                <w:kern w:val="2"/>
                <w:sz w:val="21"/>
                <w:szCs w:val="21"/>
                <w:lang w:val="en-US" w:eastAsia="zh-CN"/>
              </w:rPr>
              <w:t>，增加副产</w:t>
            </w:r>
            <w:r>
              <w:rPr>
                <w:rFonts w:hint="default" w:ascii="Times New Roman" w:hAnsi="Times New Roman" w:eastAsia="宋体" w:cs="Times New Roman"/>
                <w:b w:val="0"/>
                <w:bCs/>
                <w:kern w:val="2"/>
                <w:sz w:val="21"/>
                <w:szCs w:val="21"/>
                <w:lang w:val="en-US" w:eastAsia="zh-CN"/>
              </w:rPr>
              <w:t>三乙胺盐酸盐</w:t>
            </w:r>
          </w:p>
        </w:tc>
      </w:tr>
      <w:tr w14:paraId="4CC8B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3C69ABE4">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highlight w:val="yellow"/>
              </w:rPr>
            </w:pPr>
          </w:p>
        </w:tc>
        <w:tc>
          <w:tcPr>
            <w:tcW w:w="551" w:type="pct"/>
            <w:noWrap w:val="0"/>
            <w:vAlign w:val="center"/>
          </w:tcPr>
          <w:p w14:paraId="42A42EF4">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防渗设施</w:t>
            </w:r>
          </w:p>
        </w:tc>
        <w:tc>
          <w:tcPr>
            <w:tcW w:w="1930" w:type="pct"/>
            <w:noWrap w:val="0"/>
            <w:vAlign w:val="center"/>
          </w:tcPr>
          <w:p w14:paraId="40E842E9">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厂区内进行分区防渗。具体见分区防渗图。</w:t>
            </w:r>
          </w:p>
        </w:tc>
        <w:tc>
          <w:tcPr>
            <w:tcW w:w="1835" w:type="pct"/>
            <w:noWrap w:val="0"/>
            <w:vAlign w:val="center"/>
          </w:tcPr>
          <w:p w14:paraId="48B61C77">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厂区内进行分区防渗。</w:t>
            </w:r>
          </w:p>
        </w:tc>
        <w:tc>
          <w:tcPr>
            <w:tcW w:w="415" w:type="pct"/>
            <w:noWrap w:val="0"/>
            <w:vAlign w:val="center"/>
          </w:tcPr>
          <w:p w14:paraId="741762D9">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57CC5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358E8334">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highlight w:val="yellow"/>
              </w:rPr>
            </w:pPr>
          </w:p>
        </w:tc>
        <w:tc>
          <w:tcPr>
            <w:tcW w:w="551" w:type="pct"/>
            <w:noWrap w:val="0"/>
            <w:vAlign w:val="center"/>
          </w:tcPr>
          <w:p w14:paraId="479F0F29">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噪声</w:t>
            </w:r>
          </w:p>
        </w:tc>
        <w:tc>
          <w:tcPr>
            <w:tcW w:w="1930" w:type="pct"/>
            <w:noWrap w:val="0"/>
            <w:vAlign w:val="center"/>
          </w:tcPr>
          <w:p w14:paraId="40D39B3B">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在各类风机进、出口以及空压机吸风口加装消音器以控制噪声，各类水泵设置隔声罩、减震垫，且设备采用封闭式厂房隔音，并在建筑物内壁贴附孔板消音材料，同时在车间外和厂区空地采取绿化植物屏蔽、吸纳等措施来减轻设备噪声对外部环境的影响。</w:t>
            </w:r>
          </w:p>
        </w:tc>
        <w:tc>
          <w:tcPr>
            <w:tcW w:w="1835" w:type="pct"/>
            <w:noWrap w:val="0"/>
            <w:vAlign w:val="center"/>
          </w:tcPr>
          <w:p w14:paraId="5F2D3A3A">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在各类风机进、出口以及空压机吸风口加装消音器以控制噪声，各类水泵设置隔声罩、减震垫，且设备采用封闭式厂房隔音，并在建筑物内壁贴附孔板消音材料，同时在车间外和厂区空地采取绿化植物屏蔽、吸纳等措施来减轻设备噪声对外部环境的影响。</w:t>
            </w:r>
          </w:p>
        </w:tc>
        <w:tc>
          <w:tcPr>
            <w:tcW w:w="415" w:type="pct"/>
            <w:noWrap w:val="0"/>
            <w:vAlign w:val="center"/>
          </w:tcPr>
          <w:p w14:paraId="3B604641">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r w14:paraId="093CE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Merge w:val="continue"/>
            <w:noWrap w:val="0"/>
            <w:vAlign w:val="center"/>
          </w:tcPr>
          <w:p w14:paraId="6BB4989C">
            <w:pPr>
              <w:widowControl w:val="0"/>
              <w:spacing w:line="240" w:lineRule="auto"/>
              <w:ind w:firstLine="0" w:firstLineChars="0"/>
              <w:jc w:val="center"/>
              <w:rPr>
                <w:rFonts w:hint="default" w:ascii="Times New Roman" w:hAnsi="Times New Roman" w:eastAsia="宋体" w:cs="Times New Roman"/>
                <w:b w:val="0"/>
                <w:bCs/>
                <w:color w:val="FF0000"/>
                <w:kern w:val="2"/>
                <w:sz w:val="21"/>
                <w:szCs w:val="21"/>
                <w:highlight w:val="yellow"/>
              </w:rPr>
            </w:pPr>
          </w:p>
        </w:tc>
        <w:tc>
          <w:tcPr>
            <w:tcW w:w="551" w:type="pct"/>
            <w:noWrap w:val="0"/>
            <w:vAlign w:val="center"/>
          </w:tcPr>
          <w:p w14:paraId="7AB4DB9C">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风险应急</w:t>
            </w:r>
          </w:p>
        </w:tc>
        <w:tc>
          <w:tcPr>
            <w:tcW w:w="1930" w:type="pct"/>
            <w:noWrap w:val="0"/>
            <w:vAlign w:val="center"/>
          </w:tcPr>
          <w:p w14:paraId="11832BDC">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厂区内配备有灭火器、应急药品、防毒面具、防护服、救生衣等应急物资，事故池有效容积1800m</w:t>
            </w:r>
            <w:r>
              <w:rPr>
                <w:rFonts w:hint="default" w:ascii="Times New Roman" w:hAnsi="Times New Roman" w:eastAsia="宋体" w:cs="Times New Roman"/>
                <w:b w:val="0"/>
                <w:bCs/>
                <w:kern w:val="2"/>
                <w:sz w:val="21"/>
                <w:szCs w:val="21"/>
                <w:vertAlign w:val="superscript"/>
              </w:rPr>
              <w:t>3</w:t>
            </w:r>
            <w:r>
              <w:rPr>
                <w:rFonts w:hint="default" w:ascii="Times New Roman" w:hAnsi="Times New Roman" w:eastAsia="宋体" w:cs="Times New Roman"/>
                <w:b w:val="0"/>
                <w:bCs/>
                <w:kern w:val="2"/>
                <w:sz w:val="21"/>
                <w:szCs w:val="21"/>
              </w:rPr>
              <w:t>，用于事故废水、消防废水的收集。</w:t>
            </w:r>
          </w:p>
        </w:tc>
        <w:tc>
          <w:tcPr>
            <w:tcW w:w="1835" w:type="pct"/>
            <w:noWrap w:val="0"/>
            <w:vAlign w:val="center"/>
          </w:tcPr>
          <w:p w14:paraId="0FB8ECFD">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rPr>
              <w:t>厂区内配备有灭火器、应急药品、防毒面具、防护服、救生衣等应急物资，事故池有效容积1800m</w:t>
            </w:r>
            <w:r>
              <w:rPr>
                <w:rFonts w:hint="default" w:ascii="Times New Roman" w:hAnsi="Times New Roman" w:eastAsia="宋体" w:cs="Times New Roman"/>
                <w:b w:val="0"/>
                <w:bCs/>
                <w:kern w:val="2"/>
                <w:sz w:val="21"/>
                <w:szCs w:val="21"/>
                <w:vertAlign w:val="superscript"/>
              </w:rPr>
              <w:t>3</w:t>
            </w:r>
            <w:r>
              <w:rPr>
                <w:rFonts w:hint="default" w:ascii="Times New Roman" w:hAnsi="Times New Roman" w:eastAsia="宋体" w:cs="Times New Roman"/>
                <w:b w:val="0"/>
                <w:bCs/>
                <w:kern w:val="2"/>
                <w:sz w:val="21"/>
                <w:szCs w:val="21"/>
              </w:rPr>
              <w:t>，用于事故废水、消防废水的收集。</w:t>
            </w:r>
          </w:p>
        </w:tc>
        <w:tc>
          <w:tcPr>
            <w:tcW w:w="415" w:type="pct"/>
            <w:noWrap w:val="0"/>
            <w:vAlign w:val="center"/>
          </w:tcPr>
          <w:p w14:paraId="4619A054">
            <w:pPr>
              <w:widowControl w:val="0"/>
              <w:spacing w:line="240" w:lineRule="auto"/>
              <w:ind w:firstLine="0" w:firstLineChars="0"/>
              <w:jc w:val="center"/>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kern w:val="2"/>
                <w:sz w:val="21"/>
                <w:szCs w:val="21"/>
                <w:lang w:val="en-US" w:eastAsia="zh-CN"/>
              </w:rPr>
              <w:t>一致</w:t>
            </w:r>
          </w:p>
        </w:tc>
      </w:tr>
    </w:tbl>
    <w:p w14:paraId="41BD5AEA">
      <w:pPr>
        <w:rPr>
          <w:rFonts w:hint="eastAsia"/>
          <w:lang w:val="en-US" w:eastAsia="zh-CN"/>
        </w:rPr>
      </w:pPr>
    </w:p>
    <w:p w14:paraId="19EED82B">
      <w:pPr>
        <w:rPr>
          <w:rFonts w:hint="eastAsia"/>
          <w:lang w:val="en-US" w:eastAsia="zh-CN"/>
        </w:rPr>
      </w:pPr>
    </w:p>
    <w:p w14:paraId="18E79A12">
      <w:pPr>
        <w:rPr>
          <w:rFonts w:hint="eastAsia"/>
          <w:lang w:val="en-US" w:eastAsia="zh-CN"/>
        </w:rPr>
      </w:pPr>
    </w:p>
    <w:p w14:paraId="77914A04">
      <w:pPr>
        <w:pStyle w:val="12"/>
        <w:ind w:left="0" w:leftChars="0" w:firstLine="0" w:firstLineChars="0"/>
        <w:rPr>
          <w:rFonts w:hint="eastAsia"/>
          <w:lang w:val="en-US" w:eastAsia="zh-CN"/>
        </w:rPr>
        <w:sectPr>
          <w:pgSz w:w="16838" w:h="11906" w:orient="landscape"/>
          <w:pgMar w:top="1800" w:right="1440" w:bottom="1800" w:left="1440" w:header="851" w:footer="992" w:gutter="0"/>
          <w:pgNumType w:fmt="decimal"/>
          <w:cols w:space="720" w:num="1"/>
          <w:docGrid w:type="lines" w:linePitch="312" w:charSpace="0"/>
        </w:sectPr>
      </w:pPr>
    </w:p>
    <w:p w14:paraId="3406FBEF">
      <w:pPr>
        <w:pStyle w:val="5"/>
        <w:bidi w:val="0"/>
        <w:rPr>
          <w:rFonts w:hint="eastAsia"/>
          <w:lang w:val="en-US" w:eastAsia="zh-CN"/>
        </w:rPr>
      </w:pPr>
      <w:r>
        <w:rPr>
          <w:rFonts w:hint="eastAsia"/>
          <w:lang w:val="en-US" w:eastAsia="zh-CN"/>
        </w:rPr>
        <w:t>1.2项目变动情况说明</w:t>
      </w:r>
    </w:p>
    <w:p w14:paraId="19C35928">
      <w:pPr>
        <w:rPr>
          <w:rFonts w:hint="eastAsia"/>
          <w:lang w:eastAsia="zh-CN"/>
        </w:rPr>
      </w:pPr>
      <w:r>
        <w:rPr>
          <w:rFonts w:hint="eastAsia"/>
          <w:lang w:eastAsia="zh-CN"/>
        </w:rPr>
        <w:t>项目建设过程中结合实际情况发生污染影响类建设项目重大变动清单变动情况见表</w:t>
      </w:r>
      <w:r>
        <w:rPr>
          <w:rFonts w:hint="eastAsia"/>
          <w:lang w:val="en-US" w:eastAsia="zh-CN"/>
        </w:rPr>
        <w:t>2.1-7</w:t>
      </w:r>
      <w:r>
        <w:rPr>
          <w:rFonts w:hint="eastAsia"/>
          <w:lang w:eastAsia="zh-CN"/>
        </w:rPr>
        <w:t>。其余建设内容与环评一致。对照《（试行）》，本项目所有变动不属于重大变更，因此无需重新报批环评。</w:t>
      </w:r>
    </w:p>
    <w:p w14:paraId="66823C0C">
      <w:pPr>
        <w:pStyle w:val="21"/>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表1-2 项目变动与《污染影响类建设项目重大变动清单（试行）》对照表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4064"/>
        <w:gridCol w:w="2345"/>
        <w:gridCol w:w="1278"/>
      </w:tblGrid>
      <w:tr w14:paraId="64464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4C1F0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类别</w:t>
            </w: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DB93E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内容</w:t>
            </w:r>
          </w:p>
        </w:tc>
        <w:tc>
          <w:tcPr>
            <w:tcW w:w="24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4A22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实际情况</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A5D73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判定</w:t>
            </w:r>
          </w:p>
        </w:tc>
      </w:tr>
      <w:tr w14:paraId="5F398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62B8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性质</w:t>
            </w: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265E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1</w:t>
            </w:r>
            <w:r>
              <w:rPr>
                <w:rFonts w:hint="eastAsia" w:ascii="Times New Roman" w:hAnsi="Times New Roman"/>
                <w:sz w:val="21"/>
                <w:szCs w:val="22"/>
              </w:rPr>
              <w:t>、建设项目开发、使用功能发生变化的</w:t>
            </w:r>
          </w:p>
        </w:tc>
        <w:tc>
          <w:tcPr>
            <w:tcW w:w="24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AC3F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本项目建设项目开发、使用功能无变化。</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E70E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59F53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241767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规模</w:t>
            </w: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6F1A8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2</w:t>
            </w:r>
            <w:r>
              <w:rPr>
                <w:rFonts w:hint="eastAsia" w:ascii="Times New Roman" w:hAnsi="Times New Roman"/>
                <w:sz w:val="21"/>
                <w:szCs w:val="22"/>
              </w:rPr>
              <w:t>、生产、处置或储存能力增加30%及以上的</w:t>
            </w:r>
          </w:p>
        </w:tc>
        <w:tc>
          <w:tcPr>
            <w:tcW w:w="24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F8E6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本项目生产、处置或储存能力未增加</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55761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6B322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454127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3223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3.</w:t>
            </w:r>
            <w:r>
              <w:rPr>
                <w:rFonts w:hint="eastAsia" w:ascii="Times New Roman" w:hAnsi="Times New Roman"/>
                <w:sz w:val="21"/>
                <w:szCs w:val="22"/>
              </w:rPr>
              <w:t>生产、处置或储存能力增大，导致废水第一类污染物排放量增加的。</w:t>
            </w:r>
          </w:p>
        </w:tc>
        <w:tc>
          <w:tcPr>
            <w:tcW w:w="24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2311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不涉及废水第一类污染物</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6B28F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1075A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0AD0F5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FEFD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4.</w:t>
            </w:r>
            <w:r>
              <w:rPr>
                <w:rFonts w:hint="eastAsia" w:ascii="Times New Roman" w:hAnsi="Times New Roman"/>
                <w:sz w:val="21"/>
                <w:szCs w:val="22"/>
              </w:rPr>
              <w:t>位于环境质量不达标区的建设项目生产、处置或储存能力增大，导致相应污染物排放量增加的(细颗粒物不达标区，相应污染物为二氧化硫、氮氧化物、可吸入颗粒物、挥发性有机物；臭氧不达标区，相应污染物为氮氧化物、挥发性有机物:其他大气、水污染物因子不达标区，相应污染物为超标污染因子):位于达标区的建设项目生产、处置或储存能力增大，导致污染物排放量增加10%及以上的。</w:t>
            </w:r>
          </w:p>
        </w:tc>
        <w:tc>
          <w:tcPr>
            <w:tcW w:w="24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2DF42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建设项目位于达标区，污染物排放量均未超过环评总量控制指标。</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F63D5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59DD4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E7DB6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地点</w:t>
            </w: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6079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5.</w:t>
            </w:r>
            <w:r>
              <w:rPr>
                <w:rFonts w:hint="eastAsia" w:ascii="Times New Roman" w:hAnsi="Times New Roman"/>
                <w:sz w:val="21"/>
                <w:szCs w:val="22"/>
              </w:rPr>
              <w:t>重新选址；在原厂址附近调整(包括总平面布置变化)导致环境防护距离范围变化且新增敏感点的。</w:t>
            </w:r>
          </w:p>
        </w:tc>
        <w:tc>
          <w:tcPr>
            <w:tcW w:w="24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2F31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本项目不涉及地点变化</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09D2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348C6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635E38E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生产工艺</w:t>
            </w: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9B4F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sz w:val="21"/>
                <w:szCs w:val="22"/>
              </w:rPr>
            </w:pPr>
            <w:r>
              <w:rPr>
                <w:rFonts w:hint="default" w:ascii="Times New Roman" w:hAnsi="Times New Roman"/>
                <w:sz w:val="21"/>
                <w:szCs w:val="22"/>
              </w:rPr>
              <w:t>6.</w:t>
            </w:r>
            <w:r>
              <w:rPr>
                <w:rFonts w:hint="eastAsia" w:ascii="Times New Roman" w:hAnsi="Times New Roman"/>
                <w:sz w:val="21"/>
                <w:szCs w:val="22"/>
              </w:rPr>
              <w:t>新增产品品种或生产工艺(含主要生产装置、设备及配套设施)、主要原辅材料、燃料变化，导致以下情形之一：</w:t>
            </w:r>
          </w:p>
          <w:p w14:paraId="18B26F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(1)</w:t>
            </w:r>
            <w:r>
              <w:rPr>
                <w:rFonts w:hint="eastAsia" w:ascii="Times New Roman" w:hAnsi="Times New Roman"/>
                <w:sz w:val="21"/>
                <w:szCs w:val="22"/>
              </w:rPr>
              <w:t>新增排放污染物种类的(毒性、挥发性降低的除外)；</w:t>
            </w:r>
          </w:p>
          <w:p w14:paraId="2251969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2)</w:t>
            </w:r>
            <w:r>
              <w:rPr>
                <w:rFonts w:hint="eastAsia" w:ascii="Times New Roman" w:hAnsi="Times New Roman"/>
                <w:sz w:val="21"/>
                <w:szCs w:val="22"/>
              </w:rPr>
              <w:t>位于环境质量不达标区的建设项目相应污染物排放量增加的；</w:t>
            </w:r>
          </w:p>
          <w:p w14:paraId="4DCB35C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(3)</w:t>
            </w:r>
            <w:r>
              <w:rPr>
                <w:rFonts w:hint="eastAsia" w:ascii="Times New Roman" w:hAnsi="Times New Roman"/>
                <w:sz w:val="21"/>
                <w:szCs w:val="22"/>
              </w:rPr>
              <w:t>废水第一类污染物排放量增加的；</w:t>
            </w:r>
          </w:p>
          <w:p w14:paraId="18E76D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(4)</w:t>
            </w:r>
            <w:r>
              <w:rPr>
                <w:rFonts w:hint="eastAsia" w:ascii="Times New Roman" w:hAnsi="Times New Roman"/>
                <w:sz w:val="21"/>
                <w:szCs w:val="22"/>
              </w:rPr>
              <w:t>其他污染物排放量增加10%及以上的。</w:t>
            </w:r>
          </w:p>
        </w:tc>
        <w:tc>
          <w:tcPr>
            <w:tcW w:w="24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D6A6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w:t>
            </w:r>
            <w:r>
              <w:rPr>
                <w:rFonts w:hint="eastAsia"/>
                <w:sz w:val="21"/>
                <w:szCs w:val="22"/>
                <w:lang w:val="en-US" w:eastAsia="zh-CN"/>
              </w:rPr>
              <w:t>涉及生产工艺变化，但不新增</w:t>
            </w:r>
            <w:r>
              <w:rPr>
                <w:rFonts w:hint="eastAsia" w:ascii="Times New Roman" w:hAnsi="Times New Roman"/>
                <w:sz w:val="21"/>
                <w:szCs w:val="22"/>
              </w:rPr>
              <w:t>污染物种类</w:t>
            </w:r>
            <w:r>
              <w:rPr>
                <w:rFonts w:hint="eastAsia" w:ascii="Times New Roman" w:hAnsi="Times New Roman"/>
                <w:sz w:val="21"/>
                <w:szCs w:val="22"/>
                <w:lang w:eastAsia="zh-CN"/>
              </w:rPr>
              <w:t>，</w:t>
            </w:r>
            <w:r>
              <w:rPr>
                <w:rFonts w:hint="eastAsia" w:ascii="Times New Roman" w:hAnsi="Times New Roman"/>
                <w:sz w:val="21"/>
                <w:szCs w:val="22"/>
                <w:lang w:val="en-US" w:eastAsia="zh-CN"/>
              </w:rPr>
              <w:t>不涉及废水</w:t>
            </w:r>
            <w:r>
              <w:rPr>
                <w:rFonts w:hint="eastAsia" w:ascii="Times New Roman" w:hAnsi="Times New Roman"/>
                <w:sz w:val="21"/>
                <w:szCs w:val="22"/>
              </w:rPr>
              <w:t>第一类污染物</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83F8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30505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C74B3D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9CE7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7.</w:t>
            </w:r>
            <w:r>
              <w:rPr>
                <w:rFonts w:hint="eastAsia" w:ascii="Times New Roman" w:hAnsi="Times New Roman"/>
                <w:sz w:val="21"/>
                <w:szCs w:val="22"/>
              </w:rPr>
              <w:t>物料运输、装卸、贮存方式变化，导致大气污染物无组织排放量增加10%及以上的</w:t>
            </w:r>
          </w:p>
        </w:tc>
        <w:tc>
          <w:tcPr>
            <w:tcW w:w="24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E13C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本项目不涉及物料运输、装卸、贮存方式变化</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A0CC1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65BF6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2B95E1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环境保护措施</w:t>
            </w: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2398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8.</w:t>
            </w:r>
            <w:r>
              <w:rPr>
                <w:rFonts w:hint="eastAsia" w:ascii="Times New Roman" w:hAnsi="Times New Roman"/>
                <w:sz w:val="21"/>
                <w:szCs w:val="22"/>
              </w:rPr>
              <w:t>废气、废水污染防治措施变化，导致第6条中所列情形之(废气无组织排放改为有组织排放、污染防治措施强化或改进的除外)或大气污染物无组织排放量增加10%及以上的。</w:t>
            </w:r>
          </w:p>
        </w:tc>
        <w:tc>
          <w:tcPr>
            <w:tcW w:w="24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A01D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无变化</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CD4E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2B2DA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4C7B081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6C2DD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9.</w:t>
            </w:r>
            <w:r>
              <w:rPr>
                <w:rFonts w:hint="eastAsia" w:ascii="Times New Roman" w:hAnsi="Times New Roman"/>
                <w:sz w:val="21"/>
                <w:szCs w:val="22"/>
              </w:rPr>
              <w:t>新增废水直接排放口；废水由间接排放改为直接排放；废水直接排放口位置变化，导致不利环境影响加重的。</w:t>
            </w:r>
          </w:p>
        </w:tc>
        <w:tc>
          <w:tcPr>
            <w:tcW w:w="24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9F5E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本项目不涉及新增废水直接排放口，不涉及废水直接排放</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597C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797BC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18916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3771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10.</w:t>
            </w:r>
            <w:r>
              <w:rPr>
                <w:rFonts w:hint="eastAsia" w:ascii="Times New Roman" w:hAnsi="Times New Roman"/>
                <w:sz w:val="21"/>
                <w:szCs w:val="22"/>
              </w:rPr>
              <w:t>新增废气主要排放口(废气无组织排放改为有组织排放的除外)；主要排放口排气筒高度降低10%及以上的。</w:t>
            </w:r>
          </w:p>
        </w:tc>
        <w:tc>
          <w:tcPr>
            <w:tcW w:w="24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FEA7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本项目不涉及废气主要排放口</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8954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4749E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1C53F1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7197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11.</w:t>
            </w:r>
            <w:r>
              <w:rPr>
                <w:rFonts w:hint="eastAsia" w:ascii="Times New Roman" w:hAnsi="Times New Roman"/>
                <w:sz w:val="21"/>
                <w:szCs w:val="22"/>
              </w:rPr>
              <w:t>噪声、土壤或地下水污染防治措施变化，导致不利环境影响加重的。</w:t>
            </w:r>
          </w:p>
        </w:tc>
        <w:tc>
          <w:tcPr>
            <w:tcW w:w="24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5F07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本项目实际建设相较于环评，噪声、土壤或地下水污染防治措施未发生变化</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5CDD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13189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545BA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946E2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12.</w:t>
            </w:r>
            <w:r>
              <w:rPr>
                <w:rFonts w:hint="eastAsia" w:ascii="Times New Roman" w:hAnsi="Times New Roman"/>
                <w:sz w:val="21"/>
                <w:szCs w:val="22"/>
              </w:rPr>
              <w:t>固体废物利用处置方式由委托外单位利用处置改为自行利用处置的(自行利用处置设施单独开展环境影响评价的除外)；固体废物自行处置方式变化，导致不利环境影响加重的。</w:t>
            </w:r>
          </w:p>
        </w:tc>
        <w:tc>
          <w:tcPr>
            <w:tcW w:w="24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F0B51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本项目实际生产相较于环评，固体废物利用处置方式未改变</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3974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2E6DF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29E15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42A5D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13.</w:t>
            </w:r>
            <w:r>
              <w:rPr>
                <w:rFonts w:hint="eastAsia" w:ascii="Times New Roman" w:hAnsi="Times New Roman"/>
                <w:sz w:val="21"/>
                <w:szCs w:val="22"/>
              </w:rPr>
              <w:t>事故废水暂存能力或拦截设施变化，导致环境风险防范能力弱化或降低的。</w:t>
            </w:r>
          </w:p>
        </w:tc>
        <w:tc>
          <w:tcPr>
            <w:tcW w:w="24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2361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本项目事故废水暂存能力或拦截设施</w:t>
            </w:r>
            <w:r>
              <w:rPr>
                <w:rFonts w:hint="eastAsia"/>
                <w:sz w:val="21"/>
                <w:szCs w:val="22"/>
                <w:lang w:val="en-US" w:eastAsia="zh-CN"/>
              </w:rPr>
              <w:t>未</w:t>
            </w:r>
            <w:r>
              <w:rPr>
                <w:rFonts w:hint="eastAsia" w:ascii="Times New Roman" w:hAnsi="Times New Roman"/>
                <w:sz w:val="21"/>
                <w:szCs w:val="22"/>
              </w:rPr>
              <w:t>变化</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94A4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bl>
    <w:p w14:paraId="4AF1A53E">
      <w:pPr>
        <w:pStyle w:val="12"/>
        <w:rPr>
          <w:rFonts w:hint="eastAsia" w:ascii="Times New Roman" w:hAnsi="Times New Roman" w:eastAsia="宋体" w:cs="Times New Roman"/>
          <w:lang w:val="en-US" w:eastAsia="zh-CN"/>
        </w:rPr>
      </w:pPr>
    </w:p>
    <w:p w14:paraId="3B8E0312">
      <w:pPr>
        <w:pStyle w:val="9"/>
        <w:rPr>
          <w:rFonts w:hint="eastAsia"/>
          <w:lang w:eastAsia="zh-CN"/>
        </w:rPr>
      </w:pPr>
    </w:p>
    <w:p w14:paraId="7A7BE3E0">
      <w:pPr>
        <w:rPr>
          <w:rFonts w:hint="eastAsia"/>
          <w:lang w:val="en-US" w:eastAsia="zh-CN"/>
        </w:rPr>
      </w:pPr>
    </w:p>
    <w:p w14:paraId="0A0101F3">
      <w:pPr>
        <w:pStyle w:val="21"/>
        <w:bidi w:val="0"/>
        <w:rPr>
          <w:rFonts w:hint="eastAsia"/>
          <w:lang w:val="en-US" w:eastAsia="zh-CN"/>
        </w:rPr>
        <w:sectPr>
          <w:pgSz w:w="11906" w:h="16838"/>
          <w:pgMar w:top="1440" w:right="1800" w:bottom="1440" w:left="1800" w:header="851" w:footer="992" w:gutter="0"/>
          <w:pgNumType w:fmt="decimal"/>
          <w:cols w:space="720" w:num="1"/>
          <w:docGrid w:type="lines" w:linePitch="312" w:charSpace="0"/>
        </w:sectPr>
      </w:pPr>
    </w:p>
    <w:p w14:paraId="6EDBF1C8">
      <w:pPr>
        <w:pStyle w:val="4"/>
        <w:bidi w:val="0"/>
        <w:rPr>
          <w:rFonts w:hint="eastAsia" w:ascii="Times New Roman" w:hAnsi="Times New Roman"/>
          <w:lang w:val="en-US" w:eastAsia="zh-CN"/>
        </w:rPr>
      </w:pPr>
      <w:r>
        <w:rPr>
          <w:rFonts w:hint="eastAsia" w:ascii="Times New Roman" w:hAnsi="Times New Roman"/>
          <w:lang w:val="en-US" w:eastAsia="zh-CN"/>
        </w:rPr>
        <w:t>2评价要素</w:t>
      </w:r>
    </w:p>
    <w:p w14:paraId="7C67AE57">
      <w:pPr>
        <w:rPr>
          <w:rFonts w:hint="eastAsia" w:ascii="Times New Roman" w:hAnsi="Times New Roman"/>
          <w:lang w:val="en-US" w:eastAsia="zh-CN"/>
        </w:rPr>
      </w:pPr>
      <w:r>
        <w:rPr>
          <w:rFonts w:hint="eastAsia" w:ascii="Times New Roman" w:hAnsi="Times New Roman"/>
          <w:lang w:val="en-US" w:eastAsia="zh-CN"/>
        </w:rPr>
        <w:t>根据生态环境部发布的《关于印发〈建设项目环境影响报告表〉内容、格式及编制技术指南的通知》要求，建设项目环境影响评价报告表取消了评价等级判定等程序，因此，本项目评价要素变化情况如下：</w:t>
      </w:r>
    </w:p>
    <w:p w14:paraId="44A970B9">
      <w:pPr>
        <w:pStyle w:val="21"/>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表2-1 评价要素变化情况一览表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518"/>
        <w:gridCol w:w="3588"/>
        <w:gridCol w:w="707"/>
      </w:tblGrid>
      <w:tr w14:paraId="5C07D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9" w:type="dxa"/>
            <w:noWrap w:val="0"/>
            <w:vAlign w:val="center"/>
          </w:tcPr>
          <w:p w14:paraId="4D684834">
            <w:pPr>
              <w:pStyle w:val="19"/>
              <w:bidi w:val="0"/>
              <w:jc w:val="center"/>
              <w:rPr>
                <w:rFonts w:hint="default"/>
                <w:sz w:val="21"/>
                <w:szCs w:val="21"/>
                <w:lang w:val="en-US" w:eastAsia="zh-CN"/>
              </w:rPr>
            </w:pPr>
            <w:r>
              <w:rPr>
                <w:rFonts w:hint="eastAsia"/>
                <w:sz w:val="21"/>
                <w:szCs w:val="21"/>
                <w:lang w:val="en-US" w:eastAsia="zh-CN"/>
              </w:rPr>
              <w:t>项目</w:t>
            </w:r>
          </w:p>
        </w:tc>
        <w:tc>
          <w:tcPr>
            <w:tcW w:w="3518" w:type="dxa"/>
            <w:noWrap w:val="0"/>
            <w:vAlign w:val="center"/>
          </w:tcPr>
          <w:p w14:paraId="1F759516">
            <w:pPr>
              <w:pStyle w:val="19"/>
              <w:bidi w:val="0"/>
              <w:jc w:val="center"/>
              <w:rPr>
                <w:rFonts w:hint="default"/>
                <w:sz w:val="21"/>
                <w:szCs w:val="21"/>
                <w:lang w:val="en-US" w:eastAsia="zh-CN"/>
              </w:rPr>
            </w:pPr>
            <w:r>
              <w:rPr>
                <w:rFonts w:hint="eastAsia"/>
                <w:sz w:val="21"/>
                <w:szCs w:val="21"/>
              </w:rPr>
              <w:t>原环评内容</w:t>
            </w:r>
          </w:p>
        </w:tc>
        <w:tc>
          <w:tcPr>
            <w:tcW w:w="3588" w:type="dxa"/>
            <w:noWrap w:val="0"/>
            <w:vAlign w:val="center"/>
          </w:tcPr>
          <w:p w14:paraId="575A3394">
            <w:pPr>
              <w:pStyle w:val="19"/>
              <w:bidi w:val="0"/>
              <w:jc w:val="center"/>
              <w:rPr>
                <w:rFonts w:hint="default"/>
                <w:sz w:val="21"/>
                <w:szCs w:val="21"/>
                <w:lang w:val="en-US" w:eastAsia="zh-CN"/>
              </w:rPr>
            </w:pPr>
            <w:r>
              <w:rPr>
                <w:rFonts w:hint="eastAsia"/>
                <w:sz w:val="21"/>
                <w:szCs w:val="21"/>
              </w:rPr>
              <w:t>实际建设内容</w:t>
            </w:r>
          </w:p>
        </w:tc>
        <w:tc>
          <w:tcPr>
            <w:tcW w:w="707" w:type="dxa"/>
            <w:noWrap w:val="0"/>
            <w:vAlign w:val="center"/>
          </w:tcPr>
          <w:p w14:paraId="372851EF">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sz w:val="21"/>
                <w:szCs w:val="21"/>
                <w:lang w:val="en-US" w:eastAsia="zh-CN"/>
              </w:rPr>
            </w:pPr>
            <w:r>
              <w:rPr>
                <w:rFonts w:hint="eastAsia"/>
                <w:sz w:val="21"/>
                <w:szCs w:val="21"/>
                <w:lang w:val="en-US" w:eastAsia="zh-CN"/>
              </w:rPr>
              <w:t>是否变化</w:t>
            </w:r>
          </w:p>
        </w:tc>
      </w:tr>
      <w:tr w14:paraId="3CD33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noWrap w:val="0"/>
            <w:vAlign w:val="center"/>
          </w:tcPr>
          <w:p w14:paraId="5A1D7FAC">
            <w:pPr>
              <w:pStyle w:val="19"/>
              <w:keepNext w:val="0"/>
              <w:keepLines w:val="0"/>
              <w:pageBreakBefore w:val="0"/>
              <w:widowControl w:val="0"/>
              <w:kinsoku/>
              <w:wordWrap/>
              <w:overflowPunct/>
              <w:topLinePunct w:val="0"/>
              <w:autoSpaceDE/>
              <w:autoSpaceDN/>
              <w:bidi w:val="0"/>
              <w:adjustRightInd w:val="0"/>
              <w:snapToGrid w:val="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评价范围</w:t>
            </w:r>
          </w:p>
        </w:tc>
        <w:tc>
          <w:tcPr>
            <w:tcW w:w="3518" w:type="dxa"/>
            <w:noWrap w:val="0"/>
            <w:vAlign w:val="center"/>
          </w:tcPr>
          <w:p w14:paraId="36E8526D">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lang w:val="en-US" w:eastAsia="zh-CN"/>
              </w:rPr>
              <w:t>）本</w:t>
            </w:r>
            <w:r>
              <w:rPr>
                <w:rFonts w:hint="eastAsia" w:ascii="Times New Roman" w:hAnsi="Times New Roman" w:eastAsia="宋体" w:cs="Times New Roman"/>
                <w:sz w:val="21"/>
                <w:szCs w:val="21"/>
                <w:lang w:val="en-US" w:eastAsia="zh-CN"/>
              </w:rPr>
              <w:t>项目</w:t>
            </w:r>
            <w:r>
              <w:rPr>
                <w:rFonts w:hint="default" w:ascii="Times New Roman" w:hAnsi="Times New Roman" w:eastAsia="宋体" w:cs="Times New Roman"/>
                <w:sz w:val="21"/>
                <w:szCs w:val="21"/>
                <w:lang w:val="en-US" w:eastAsia="zh-CN"/>
              </w:rPr>
              <w:t>风险评价等级为“</w:t>
            </w:r>
            <w:r>
              <w:rPr>
                <w:rFonts w:hint="eastAsia" w:ascii="Times New Roman" w:hAnsi="Times New Roman" w:eastAsia="宋体" w:cs="Times New Roman"/>
                <w:sz w:val="21"/>
                <w:szCs w:val="21"/>
                <w:lang w:val="en-US" w:eastAsia="zh-CN"/>
              </w:rPr>
              <w:t>一级</w:t>
            </w:r>
            <w:r>
              <w:rPr>
                <w:rFonts w:hint="default" w:ascii="Times New Roman" w:hAnsi="Times New Roman" w:eastAsia="宋体" w:cs="Times New Roman"/>
                <w:sz w:val="21"/>
                <w:szCs w:val="21"/>
                <w:lang w:val="en-US" w:eastAsia="zh-CN"/>
              </w:rPr>
              <w:t>”。</w:t>
            </w:r>
          </w:p>
        </w:tc>
        <w:tc>
          <w:tcPr>
            <w:tcW w:w="3588" w:type="dxa"/>
            <w:noWrap w:val="0"/>
            <w:vAlign w:val="center"/>
          </w:tcPr>
          <w:p w14:paraId="037CB392">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sz w:val="21"/>
                <w:szCs w:val="21"/>
                <w:lang w:val="en-US" w:eastAsia="zh-CN"/>
              </w:rPr>
            </w:pPr>
            <w:r>
              <w:rPr>
                <w:sz w:val="21"/>
                <w:szCs w:val="21"/>
              </w:rPr>
              <w:t>（</w:t>
            </w:r>
            <w:r>
              <w:rPr>
                <w:rFonts w:hint="eastAsia"/>
                <w:sz w:val="21"/>
                <w:szCs w:val="21"/>
                <w:lang w:val="en-US" w:eastAsia="zh-CN"/>
              </w:rPr>
              <w:t>1</w:t>
            </w:r>
            <w:r>
              <w:rPr>
                <w:sz w:val="21"/>
                <w:szCs w:val="21"/>
              </w:rPr>
              <w:t>）本</w:t>
            </w:r>
            <w:r>
              <w:rPr>
                <w:rFonts w:hint="eastAsia"/>
                <w:sz w:val="21"/>
                <w:szCs w:val="21"/>
              </w:rPr>
              <w:t>项目</w:t>
            </w:r>
            <w:r>
              <w:rPr>
                <w:sz w:val="21"/>
                <w:szCs w:val="21"/>
              </w:rPr>
              <w:t>风险评价等级为“</w:t>
            </w:r>
            <w:r>
              <w:rPr>
                <w:rFonts w:hint="eastAsia"/>
                <w:sz w:val="21"/>
                <w:szCs w:val="21"/>
                <w:lang w:val="en-US" w:eastAsia="zh-CN"/>
              </w:rPr>
              <w:t>一级</w:t>
            </w:r>
            <w:r>
              <w:rPr>
                <w:sz w:val="21"/>
                <w:szCs w:val="21"/>
              </w:rPr>
              <w:t>”。</w:t>
            </w:r>
          </w:p>
        </w:tc>
        <w:tc>
          <w:tcPr>
            <w:tcW w:w="707" w:type="dxa"/>
            <w:noWrap w:val="0"/>
            <w:vAlign w:val="center"/>
          </w:tcPr>
          <w:p w14:paraId="2A41E31D">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sz w:val="21"/>
                <w:szCs w:val="21"/>
                <w:lang w:val="en-US" w:eastAsia="zh-CN"/>
              </w:rPr>
            </w:pPr>
            <w:r>
              <w:rPr>
                <w:rFonts w:hint="eastAsia"/>
                <w:sz w:val="21"/>
                <w:szCs w:val="21"/>
                <w:lang w:val="en-US" w:eastAsia="zh-CN"/>
              </w:rPr>
              <w:t>否</w:t>
            </w:r>
          </w:p>
        </w:tc>
      </w:tr>
      <w:tr w14:paraId="6A2A3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noWrap w:val="0"/>
            <w:vAlign w:val="center"/>
          </w:tcPr>
          <w:p w14:paraId="19F7278C">
            <w:pPr>
              <w:pStyle w:val="19"/>
              <w:keepNext w:val="0"/>
              <w:keepLines w:val="0"/>
              <w:pageBreakBefore w:val="0"/>
              <w:widowControl w:val="0"/>
              <w:kinsoku/>
              <w:wordWrap/>
              <w:overflowPunct/>
              <w:topLinePunct w:val="0"/>
              <w:autoSpaceDE/>
              <w:autoSpaceDN/>
              <w:bidi w:val="0"/>
              <w:adjustRightInd w:val="0"/>
              <w:snapToGrid w:val="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评价标准</w:t>
            </w:r>
          </w:p>
        </w:tc>
        <w:tc>
          <w:tcPr>
            <w:tcW w:w="3518" w:type="dxa"/>
            <w:noWrap w:val="0"/>
            <w:vAlign w:val="center"/>
          </w:tcPr>
          <w:p w14:paraId="07521CB1">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废气：污水处理站废气中氨、硫化氢、臭气浓度满足《恶臭污染物排放标准》（</w:t>
            </w:r>
            <w:r>
              <w:rPr>
                <w:rFonts w:hint="default" w:ascii="Times New Roman" w:hAnsi="Times New Roman" w:eastAsia="宋体" w:cs="Times New Roman"/>
                <w:sz w:val="21"/>
                <w:szCs w:val="21"/>
                <w:lang w:val="en-US" w:eastAsia="zh-CN"/>
              </w:rPr>
              <w:t>GB 14554-93</w:t>
            </w:r>
            <w:r>
              <w:rPr>
                <w:rFonts w:hint="eastAsia" w:ascii="Times New Roman" w:hAnsi="Times New Roman" w:eastAsia="宋体" w:cs="Times New Roman"/>
                <w:sz w:val="21"/>
                <w:szCs w:val="21"/>
                <w:lang w:val="en-US" w:eastAsia="zh-CN"/>
              </w:rPr>
              <w:t>）；非甲烷总烃满足安徽省地方标准《固定源挥发性有机物综合排放标准第</w:t>
            </w:r>
            <w:r>
              <w:rPr>
                <w:rFonts w:hint="default" w:ascii="Times New Roman" w:hAnsi="Times New Roman" w:eastAsia="宋体" w:cs="Times New Roman"/>
                <w:sz w:val="21"/>
                <w:szCs w:val="21"/>
                <w:lang w:val="en-US" w:eastAsia="zh-CN"/>
              </w:rPr>
              <w:t>3</w:t>
            </w:r>
            <w:r>
              <w:rPr>
                <w:rFonts w:hint="eastAsia" w:ascii="Times New Roman" w:hAnsi="Times New Roman" w:eastAsia="宋体" w:cs="Times New Roman"/>
                <w:sz w:val="21"/>
                <w:szCs w:val="21"/>
                <w:lang w:val="en-US" w:eastAsia="zh-CN"/>
              </w:rPr>
              <w:t>部分：有机化学品制造工业》（</w:t>
            </w:r>
            <w:r>
              <w:rPr>
                <w:rFonts w:hint="default" w:ascii="Times New Roman" w:hAnsi="Times New Roman" w:eastAsia="宋体" w:cs="Times New Roman"/>
                <w:sz w:val="21"/>
                <w:szCs w:val="21"/>
                <w:lang w:val="en-US" w:eastAsia="zh-CN"/>
              </w:rPr>
              <w:t>DB34/4812.3-2024</w:t>
            </w:r>
            <w:r>
              <w:rPr>
                <w:rFonts w:hint="eastAsia" w:ascii="Times New Roman" w:hAnsi="Times New Roman" w:eastAsia="宋体" w:cs="Times New Roman"/>
                <w:sz w:val="21"/>
                <w:szCs w:val="21"/>
                <w:lang w:val="en-US" w:eastAsia="zh-CN"/>
              </w:rPr>
              <w:t>）；储罐、危废库废气中的非甲烷总烃满足安徽省地方标准《固定源挥发性有机物综合排放标准第</w:t>
            </w:r>
            <w:r>
              <w:rPr>
                <w:rFonts w:hint="default" w:ascii="Times New Roman" w:hAnsi="Times New Roman" w:eastAsia="宋体" w:cs="Times New Roman"/>
                <w:sz w:val="21"/>
                <w:szCs w:val="21"/>
                <w:lang w:val="en-US" w:eastAsia="zh-CN"/>
              </w:rPr>
              <w:t>3</w:t>
            </w:r>
            <w:r>
              <w:rPr>
                <w:rFonts w:hint="eastAsia" w:ascii="Times New Roman" w:hAnsi="Times New Roman" w:eastAsia="宋体" w:cs="Times New Roman"/>
                <w:sz w:val="21"/>
                <w:szCs w:val="21"/>
                <w:lang w:val="en-US" w:eastAsia="zh-CN"/>
              </w:rPr>
              <w:t>部分：有机化学品制造工业》（</w:t>
            </w:r>
            <w:r>
              <w:rPr>
                <w:rFonts w:hint="default" w:ascii="Times New Roman" w:hAnsi="Times New Roman" w:eastAsia="宋体" w:cs="Times New Roman"/>
                <w:sz w:val="21"/>
                <w:szCs w:val="21"/>
                <w:lang w:val="en-US" w:eastAsia="zh-CN"/>
              </w:rPr>
              <w:t>DB34/4812.3-2024</w:t>
            </w:r>
            <w:r>
              <w:rPr>
                <w:rFonts w:hint="eastAsia" w:ascii="Times New Roman" w:hAnsi="Times New Roman" w:eastAsia="宋体" w:cs="Times New Roman"/>
                <w:sz w:val="21"/>
                <w:szCs w:val="21"/>
                <w:lang w:val="en-US" w:eastAsia="zh-CN"/>
              </w:rPr>
              <w:t>）；车间含卤废气中的非甲烷总烃满足安徽省地方标准《固定源挥发性有机物综合排放标准第</w:t>
            </w:r>
            <w:r>
              <w:rPr>
                <w:rFonts w:hint="default" w:ascii="Times New Roman" w:hAnsi="Times New Roman" w:eastAsia="宋体" w:cs="Times New Roman"/>
                <w:sz w:val="21"/>
                <w:szCs w:val="21"/>
                <w:lang w:val="en-US" w:eastAsia="zh-CN"/>
              </w:rPr>
              <w:t>3</w:t>
            </w:r>
            <w:r>
              <w:rPr>
                <w:rFonts w:hint="eastAsia" w:ascii="Times New Roman" w:hAnsi="Times New Roman" w:eastAsia="宋体" w:cs="Times New Roman"/>
                <w:sz w:val="21"/>
                <w:szCs w:val="21"/>
                <w:lang w:val="en-US" w:eastAsia="zh-CN"/>
              </w:rPr>
              <w:t>部分：有机化学品制造工业》（</w:t>
            </w:r>
            <w:r>
              <w:rPr>
                <w:rFonts w:hint="default" w:ascii="Times New Roman" w:hAnsi="Times New Roman" w:eastAsia="宋体" w:cs="Times New Roman"/>
                <w:sz w:val="21"/>
                <w:szCs w:val="21"/>
                <w:lang w:val="en-US" w:eastAsia="zh-CN"/>
              </w:rPr>
              <w:t>DB34/4812.3-2024</w:t>
            </w:r>
            <w:r>
              <w:rPr>
                <w:rFonts w:hint="eastAsia" w:ascii="Times New Roman" w:hAnsi="Times New Roman" w:eastAsia="宋体" w:cs="Times New Roman"/>
                <w:sz w:val="21"/>
                <w:szCs w:val="21"/>
                <w:lang w:val="en-US" w:eastAsia="zh-CN"/>
              </w:rPr>
              <w:t>）；RTO燃烧废气中的颗粒物、二氧化硫、氮氧化物满足《石油化学工业污染物排放标准》（</w:t>
            </w:r>
            <w:r>
              <w:rPr>
                <w:rFonts w:hint="default" w:ascii="Times New Roman" w:hAnsi="Times New Roman" w:eastAsia="宋体" w:cs="Times New Roman"/>
                <w:sz w:val="21"/>
                <w:szCs w:val="21"/>
                <w:lang w:val="en-US" w:eastAsia="zh-CN"/>
              </w:rPr>
              <w:t>GB 31571-2015</w:t>
            </w:r>
            <w:r>
              <w:rPr>
                <w:rFonts w:hint="eastAsia" w:ascii="Times New Roman" w:hAnsi="Times New Roman" w:eastAsia="宋体" w:cs="Times New Roman"/>
                <w:sz w:val="21"/>
                <w:szCs w:val="21"/>
                <w:lang w:val="en-US" w:eastAsia="zh-CN"/>
              </w:rPr>
              <w:t>）及修改单（</w:t>
            </w:r>
            <w:r>
              <w:rPr>
                <w:rFonts w:hint="default" w:ascii="Times New Roman" w:hAnsi="Times New Roman" w:eastAsia="宋体" w:cs="Times New Roman"/>
                <w:sz w:val="21"/>
                <w:szCs w:val="21"/>
                <w:lang w:val="en-US" w:eastAsia="zh-CN"/>
              </w:rPr>
              <w:t>GB31571-2015</w:t>
            </w:r>
            <w:r>
              <w:rPr>
                <w:rFonts w:hint="eastAsia" w:ascii="Times New Roman" w:hAnsi="Times New Roman" w:eastAsia="宋体" w:cs="Times New Roman"/>
                <w:sz w:val="21"/>
                <w:szCs w:val="21"/>
                <w:lang w:val="en-US" w:eastAsia="zh-CN"/>
              </w:rPr>
              <w:t>）、林格曼黑度满足工业炉窑大气污染物排放标准（</w:t>
            </w:r>
            <w:r>
              <w:rPr>
                <w:rFonts w:hint="default" w:ascii="Times New Roman" w:hAnsi="Times New Roman" w:eastAsia="宋体" w:cs="Times New Roman"/>
                <w:sz w:val="21"/>
                <w:szCs w:val="21"/>
                <w:lang w:val="en-US" w:eastAsia="zh-CN"/>
              </w:rPr>
              <w:t>GB9078-1996</w:t>
            </w:r>
            <w:r>
              <w:rPr>
                <w:rFonts w:hint="eastAsia" w:ascii="Times New Roman" w:hAnsi="Times New Roman" w:eastAsia="宋体" w:cs="Times New Roman"/>
                <w:sz w:val="21"/>
                <w:szCs w:val="21"/>
                <w:lang w:val="en-US" w:eastAsia="zh-CN"/>
              </w:rPr>
              <w:t>）、非甲烷总烃满足安徽省地方标准《固定源挥发性有机物综合排放标准第</w:t>
            </w:r>
            <w:r>
              <w:rPr>
                <w:rFonts w:hint="default" w:ascii="Times New Roman" w:hAnsi="Times New Roman" w:eastAsia="宋体" w:cs="Times New Roman"/>
                <w:sz w:val="21"/>
                <w:szCs w:val="21"/>
                <w:lang w:val="en-US" w:eastAsia="zh-CN"/>
              </w:rPr>
              <w:t>3</w:t>
            </w:r>
            <w:r>
              <w:rPr>
                <w:rFonts w:hint="eastAsia" w:ascii="Times New Roman" w:hAnsi="Times New Roman" w:eastAsia="宋体" w:cs="Times New Roman"/>
                <w:sz w:val="21"/>
                <w:szCs w:val="21"/>
                <w:lang w:val="en-US" w:eastAsia="zh-CN"/>
              </w:rPr>
              <w:t>部分：有机化学品制造工业》（</w:t>
            </w:r>
            <w:r>
              <w:rPr>
                <w:rFonts w:hint="default" w:ascii="Times New Roman" w:hAnsi="Times New Roman" w:eastAsia="宋体" w:cs="Times New Roman"/>
                <w:sz w:val="21"/>
                <w:szCs w:val="21"/>
                <w:lang w:val="en-US" w:eastAsia="zh-CN"/>
              </w:rPr>
              <w:t>DB34/4812.3-2024</w:t>
            </w:r>
            <w:r>
              <w:rPr>
                <w:rFonts w:hint="eastAsia" w:ascii="Times New Roman" w:hAnsi="Times New Roman" w:eastAsia="宋体" w:cs="Times New Roman"/>
                <w:sz w:val="21"/>
                <w:szCs w:val="21"/>
                <w:lang w:val="en-US" w:eastAsia="zh-CN"/>
              </w:rPr>
              <w:t>）。</w:t>
            </w:r>
          </w:p>
          <w:p w14:paraId="5EC64647">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eastAsia"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厂界无组织废气中非甲烷总烃</w:t>
            </w:r>
            <w:r>
              <w:rPr>
                <w:rFonts w:hint="eastAsia" w:ascii="Times New Roman" w:hAnsi="Times New Roman" w:eastAsia="宋体" w:cs="Times New Roman"/>
                <w:sz w:val="21"/>
                <w:szCs w:val="21"/>
                <w:lang w:val="en-US" w:eastAsia="zh-CN"/>
              </w:rPr>
              <w:t>满足《石油化学工业污染物排放标准》（GB31571-2015）</w:t>
            </w:r>
            <w:r>
              <w:rPr>
                <w:rFonts w:hint="default" w:ascii="Times New Roman" w:hAnsi="Times New Roman" w:eastAsia="宋体" w:cs="Times New Roman"/>
                <w:sz w:val="21"/>
                <w:szCs w:val="21"/>
                <w:lang w:val="en-US" w:eastAsia="zh-CN"/>
              </w:rPr>
              <w:t>，硫化氢</w:t>
            </w:r>
            <w:r>
              <w:rPr>
                <w:rFonts w:hint="eastAsia" w:ascii="Times New Roman" w:hAnsi="Times New Roman" w:eastAsia="宋体" w:cs="Times New Roman"/>
                <w:sz w:val="21"/>
                <w:szCs w:val="21"/>
                <w:lang w:val="en-US" w:eastAsia="zh-CN"/>
              </w:rPr>
              <w:t>、氨、臭气浓度满足</w:t>
            </w:r>
            <w:r>
              <w:rPr>
                <w:rFonts w:hint="default" w:ascii="Times New Roman" w:hAnsi="Times New Roman" w:eastAsia="宋体" w:cs="Times New Roman"/>
                <w:sz w:val="21"/>
                <w:szCs w:val="21"/>
                <w:lang w:val="en-US" w:eastAsia="zh-CN"/>
              </w:rPr>
              <w:t>《恶臭污染物排放标准》（GB14554-</w:t>
            </w:r>
            <w:r>
              <w:rPr>
                <w:rFonts w:hint="eastAsia" w:ascii="Times New Roman" w:hAnsi="Times New Roman" w:eastAsia="宋体" w:cs="Times New Roman"/>
                <w:sz w:val="21"/>
                <w:szCs w:val="21"/>
                <w:lang w:val="en-US" w:eastAsia="zh-CN"/>
              </w:rPr>
              <w:t>19</w:t>
            </w:r>
            <w:r>
              <w:rPr>
                <w:rFonts w:hint="default" w:ascii="Times New Roman" w:hAnsi="Times New Roman" w:eastAsia="宋体" w:cs="Times New Roman"/>
                <w:sz w:val="21"/>
                <w:szCs w:val="21"/>
                <w:lang w:val="en-US" w:eastAsia="zh-CN"/>
              </w:rPr>
              <w:t>93）。</w:t>
            </w:r>
            <w:r>
              <w:rPr>
                <w:rFonts w:hint="eastAsia" w:ascii="Times New Roman" w:hAnsi="Times New Roman" w:eastAsia="宋体" w:cs="Times New Roman"/>
                <w:sz w:val="21"/>
                <w:szCs w:val="21"/>
                <w:lang w:val="en-US" w:eastAsia="zh-CN"/>
              </w:rPr>
              <w:t>厂内无组织废气非甲烷总烃满足安徽省地方标准《固定源挥发性有机物综合排放标准第</w:t>
            </w:r>
            <w:r>
              <w:rPr>
                <w:rFonts w:hint="default" w:ascii="Times New Roman" w:hAnsi="Times New Roman" w:eastAsia="宋体" w:cs="Times New Roman"/>
                <w:sz w:val="21"/>
                <w:szCs w:val="21"/>
                <w:lang w:val="en-US" w:eastAsia="zh-CN"/>
              </w:rPr>
              <w:t>3</w:t>
            </w:r>
            <w:r>
              <w:rPr>
                <w:rFonts w:hint="eastAsia" w:ascii="Times New Roman" w:hAnsi="Times New Roman" w:eastAsia="宋体" w:cs="Times New Roman"/>
                <w:sz w:val="21"/>
                <w:szCs w:val="21"/>
                <w:lang w:val="en-US" w:eastAsia="zh-CN"/>
              </w:rPr>
              <w:t>部分：有机化学品制造工业》。</w:t>
            </w:r>
          </w:p>
          <w:p w14:paraId="3E3754F5">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废水：废水执行</w:t>
            </w:r>
            <w:r>
              <w:rPr>
                <w:rFonts w:hint="default" w:ascii="Times New Roman" w:hAnsi="Times New Roman" w:eastAsia="宋体" w:cs="Times New Roman"/>
                <w:sz w:val="21"/>
                <w:szCs w:val="21"/>
                <w:lang w:val="en-US" w:eastAsia="zh-CN"/>
              </w:rPr>
              <w:t>安庆亚同城西污水厂标准执行接管协议标准值。</w:t>
            </w:r>
          </w:p>
          <w:p w14:paraId="5A94F251">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噪声：</w:t>
            </w:r>
            <w:r>
              <w:rPr>
                <w:rFonts w:hint="default" w:ascii="Times New Roman" w:hAnsi="Times New Roman" w:eastAsia="宋体" w:cs="Times New Roman"/>
                <w:sz w:val="21"/>
                <w:szCs w:val="21"/>
                <w:lang w:val="en-US" w:eastAsia="zh-CN"/>
              </w:rPr>
              <w:t>厂界噪声执行《工业企业厂界环境噪声排放标准》（GB12348-2008）3类标准。</w:t>
            </w:r>
          </w:p>
        </w:tc>
        <w:tc>
          <w:tcPr>
            <w:tcW w:w="3588" w:type="dxa"/>
            <w:noWrap w:val="0"/>
            <w:vAlign w:val="center"/>
          </w:tcPr>
          <w:p w14:paraId="5D1625B3">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废气：污水处理站废气中氨、硫化氢、臭气浓度满足《恶臭污染物排放标准》（</w:t>
            </w:r>
            <w:r>
              <w:rPr>
                <w:rFonts w:hint="default" w:ascii="Times New Roman" w:hAnsi="Times New Roman" w:eastAsia="宋体" w:cs="Times New Roman"/>
                <w:sz w:val="21"/>
                <w:szCs w:val="21"/>
                <w:lang w:val="en-US" w:eastAsia="zh-CN"/>
              </w:rPr>
              <w:t>GB 14554-93</w:t>
            </w:r>
            <w:r>
              <w:rPr>
                <w:rFonts w:hint="eastAsia" w:ascii="Times New Roman" w:hAnsi="Times New Roman" w:eastAsia="宋体" w:cs="Times New Roman"/>
                <w:sz w:val="21"/>
                <w:szCs w:val="21"/>
                <w:lang w:val="en-US" w:eastAsia="zh-CN"/>
              </w:rPr>
              <w:t>）；非甲烷总烃满足安徽省地方标准《固定源挥发性有机物综合排放标准第</w:t>
            </w:r>
            <w:r>
              <w:rPr>
                <w:rFonts w:hint="default" w:ascii="Times New Roman" w:hAnsi="Times New Roman" w:eastAsia="宋体" w:cs="Times New Roman"/>
                <w:sz w:val="21"/>
                <w:szCs w:val="21"/>
                <w:lang w:val="en-US" w:eastAsia="zh-CN"/>
              </w:rPr>
              <w:t>3</w:t>
            </w:r>
            <w:r>
              <w:rPr>
                <w:rFonts w:hint="eastAsia" w:ascii="Times New Roman" w:hAnsi="Times New Roman" w:eastAsia="宋体" w:cs="Times New Roman"/>
                <w:sz w:val="21"/>
                <w:szCs w:val="21"/>
                <w:lang w:val="en-US" w:eastAsia="zh-CN"/>
              </w:rPr>
              <w:t>部分：有机化学品制造工业》（</w:t>
            </w:r>
            <w:r>
              <w:rPr>
                <w:rFonts w:hint="default" w:ascii="Times New Roman" w:hAnsi="Times New Roman" w:eastAsia="宋体" w:cs="Times New Roman"/>
                <w:sz w:val="21"/>
                <w:szCs w:val="21"/>
                <w:lang w:val="en-US" w:eastAsia="zh-CN"/>
              </w:rPr>
              <w:t>DB34/4812.3-2024</w:t>
            </w:r>
            <w:r>
              <w:rPr>
                <w:rFonts w:hint="eastAsia" w:ascii="Times New Roman" w:hAnsi="Times New Roman" w:eastAsia="宋体" w:cs="Times New Roman"/>
                <w:sz w:val="21"/>
                <w:szCs w:val="21"/>
                <w:lang w:val="en-US" w:eastAsia="zh-CN"/>
              </w:rPr>
              <w:t>）；储罐、危废库废气中的非甲烷总烃满足安徽省地方标准《固定源挥发性有机物综合排放标准第</w:t>
            </w:r>
            <w:r>
              <w:rPr>
                <w:rFonts w:hint="default" w:ascii="Times New Roman" w:hAnsi="Times New Roman" w:eastAsia="宋体" w:cs="Times New Roman"/>
                <w:sz w:val="21"/>
                <w:szCs w:val="21"/>
                <w:lang w:val="en-US" w:eastAsia="zh-CN"/>
              </w:rPr>
              <w:t>3</w:t>
            </w:r>
            <w:r>
              <w:rPr>
                <w:rFonts w:hint="eastAsia" w:ascii="Times New Roman" w:hAnsi="Times New Roman" w:eastAsia="宋体" w:cs="Times New Roman"/>
                <w:sz w:val="21"/>
                <w:szCs w:val="21"/>
                <w:lang w:val="en-US" w:eastAsia="zh-CN"/>
              </w:rPr>
              <w:t>部分：有机化学品制造工业》（</w:t>
            </w:r>
            <w:r>
              <w:rPr>
                <w:rFonts w:hint="default" w:ascii="Times New Roman" w:hAnsi="Times New Roman" w:eastAsia="宋体" w:cs="Times New Roman"/>
                <w:sz w:val="21"/>
                <w:szCs w:val="21"/>
                <w:lang w:val="en-US" w:eastAsia="zh-CN"/>
              </w:rPr>
              <w:t>DB34/4812.3-2024</w:t>
            </w:r>
            <w:r>
              <w:rPr>
                <w:rFonts w:hint="eastAsia" w:ascii="Times New Roman" w:hAnsi="Times New Roman" w:eastAsia="宋体" w:cs="Times New Roman"/>
                <w:sz w:val="21"/>
                <w:szCs w:val="21"/>
                <w:lang w:val="en-US" w:eastAsia="zh-CN"/>
              </w:rPr>
              <w:t>）；车间含卤废气中的非甲烷总烃满足安徽省地方标准《固定源挥发性有机物综合排放标准第</w:t>
            </w:r>
            <w:r>
              <w:rPr>
                <w:rFonts w:hint="default" w:ascii="Times New Roman" w:hAnsi="Times New Roman" w:eastAsia="宋体" w:cs="Times New Roman"/>
                <w:sz w:val="21"/>
                <w:szCs w:val="21"/>
                <w:lang w:val="en-US" w:eastAsia="zh-CN"/>
              </w:rPr>
              <w:t>3</w:t>
            </w:r>
            <w:r>
              <w:rPr>
                <w:rFonts w:hint="eastAsia" w:ascii="Times New Roman" w:hAnsi="Times New Roman" w:eastAsia="宋体" w:cs="Times New Roman"/>
                <w:sz w:val="21"/>
                <w:szCs w:val="21"/>
                <w:lang w:val="en-US" w:eastAsia="zh-CN"/>
              </w:rPr>
              <w:t>部分：有机化学品制造工业》（</w:t>
            </w:r>
            <w:r>
              <w:rPr>
                <w:rFonts w:hint="default" w:ascii="Times New Roman" w:hAnsi="Times New Roman" w:eastAsia="宋体" w:cs="Times New Roman"/>
                <w:sz w:val="21"/>
                <w:szCs w:val="21"/>
                <w:lang w:val="en-US" w:eastAsia="zh-CN"/>
              </w:rPr>
              <w:t>DB34/4812.3-2024</w:t>
            </w:r>
            <w:r>
              <w:rPr>
                <w:rFonts w:hint="eastAsia" w:ascii="Times New Roman" w:hAnsi="Times New Roman" w:eastAsia="宋体" w:cs="Times New Roman"/>
                <w:sz w:val="21"/>
                <w:szCs w:val="21"/>
                <w:lang w:val="en-US" w:eastAsia="zh-CN"/>
              </w:rPr>
              <w:t>）；RTO燃烧废气中的颗粒物、二氧化硫、氮氧化物满足《石油化学工业污染物排放标准》（</w:t>
            </w:r>
            <w:r>
              <w:rPr>
                <w:rFonts w:hint="default" w:ascii="Times New Roman" w:hAnsi="Times New Roman" w:eastAsia="宋体" w:cs="Times New Roman"/>
                <w:sz w:val="21"/>
                <w:szCs w:val="21"/>
                <w:lang w:val="en-US" w:eastAsia="zh-CN"/>
              </w:rPr>
              <w:t>GB 31571-2015</w:t>
            </w:r>
            <w:r>
              <w:rPr>
                <w:rFonts w:hint="eastAsia" w:ascii="Times New Roman" w:hAnsi="Times New Roman" w:eastAsia="宋体" w:cs="Times New Roman"/>
                <w:sz w:val="21"/>
                <w:szCs w:val="21"/>
                <w:lang w:val="en-US" w:eastAsia="zh-CN"/>
              </w:rPr>
              <w:t>）及修改单（</w:t>
            </w:r>
            <w:r>
              <w:rPr>
                <w:rFonts w:hint="default" w:ascii="Times New Roman" w:hAnsi="Times New Roman" w:eastAsia="宋体" w:cs="Times New Roman"/>
                <w:sz w:val="21"/>
                <w:szCs w:val="21"/>
                <w:lang w:val="en-US" w:eastAsia="zh-CN"/>
              </w:rPr>
              <w:t>GB31571-2015</w:t>
            </w:r>
            <w:r>
              <w:rPr>
                <w:rFonts w:hint="eastAsia" w:ascii="Times New Roman" w:hAnsi="Times New Roman" w:eastAsia="宋体" w:cs="Times New Roman"/>
                <w:sz w:val="21"/>
                <w:szCs w:val="21"/>
                <w:lang w:val="en-US" w:eastAsia="zh-CN"/>
              </w:rPr>
              <w:t>）、林格曼黑度满足工业炉窑大气污染物排放标准（</w:t>
            </w:r>
            <w:r>
              <w:rPr>
                <w:rFonts w:hint="default" w:ascii="Times New Roman" w:hAnsi="Times New Roman" w:eastAsia="宋体" w:cs="Times New Roman"/>
                <w:sz w:val="21"/>
                <w:szCs w:val="21"/>
                <w:lang w:val="en-US" w:eastAsia="zh-CN"/>
              </w:rPr>
              <w:t>GB9078-1996</w:t>
            </w:r>
            <w:r>
              <w:rPr>
                <w:rFonts w:hint="eastAsia" w:ascii="Times New Roman" w:hAnsi="Times New Roman" w:eastAsia="宋体" w:cs="Times New Roman"/>
                <w:sz w:val="21"/>
                <w:szCs w:val="21"/>
                <w:lang w:val="en-US" w:eastAsia="zh-CN"/>
              </w:rPr>
              <w:t>）、非甲烷总烃满足安徽省地方标准《固定源挥发性有机物综合排放标准第</w:t>
            </w:r>
            <w:r>
              <w:rPr>
                <w:rFonts w:hint="default" w:ascii="Times New Roman" w:hAnsi="Times New Roman" w:eastAsia="宋体" w:cs="Times New Roman"/>
                <w:sz w:val="21"/>
                <w:szCs w:val="21"/>
                <w:lang w:val="en-US" w:eastAsia="zh-CN"/>
              </w:rPr>
              <w:t>3</w:t>
            </w:r>
            <w:r>
              <w:rPr>
                <w:rFonts w:hint="eastAsia" w:ascii="Times New Roman" w:hAnsi="Times New Roman" w:eastAsia="宋体" w:cs="Times New Roman"/>
                <w:sz w:val="21"/>
                <w:szCs w:val="21"/>
                <w:lang w:val="en-US" w:eastAsia="zh-CN"/>
              </w:rPr>
              <w:t>部分：有机化学品制造工业》（</w:t>
            </w:r>
            <w:r>
              <w:rPr>
                <w:rFonts w:hint="default" w:ascii="Times New Roman" w:hAnsi="Times New Roman" w:eastAsia="宋体" w:cs="Times New Roman"/>
                <w:sz w:val="21"/>
                <w:szCs w:val="21"/>
                <w:lang w:val="en-US" w:eastAsia="zh-CN"/>
              </w:rPr>
              <w:t>DB34/4812.3-2024</w:t>
            </w:r>
            <w:r>
              <w:rPr>
                <w:rFonts w:hint="eastAsia" w:ascii="Times New Roman" w:hAnsi="Times New Roman" w:eastAsia="宋体" w:cs="Times New Roman"/>
                <w:sz w:val="21"/>
                <w:szCs w:val="21"/>
                <w:lang w:val="en-US" w:eastAsia="zh-CN"/>
              </w:rPr>
              <w:t>）。</w:t>
            </w:r>
          </w:p>
          <w:p w14:paraId="6CA56FEF">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eastAsia"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厂界无组织废气中非甲烷总烃</w:t>
            </w:r>
            <w:r>
              <w:rPr>
                <w:rFonts w:hint="eastAsia" w:ascii="Times New Roman" w:hAnsi="Times New Roman" w:eastAsia="宋体" w:cs="Times New Roman"/>
                <w:sz w:val="21"/>
                <w:szCs w:val="21"/>
                <w:lang w:val="en-US" w:eastAsia="zh-CN"/>
              </w:rPr>
              <w:t>满足《石油化学工业污染物排放标准》（GB31571-2015）</w:t>
            </w:r>
            <w:r>
              <w:rPr>
                <w:rFonts w:hint="default" w:ascii="Times New Roman" w:hAnsi="Times New Roman" w:eastAsia="宋体" w:cs="Times New Roman"/>
                <w:sz w:val="21"/>
                <w:szCs w:val="21"/>
                <w:lang w:val="en-US" w:eastAsia="zh-CN"/>
              </w:rPr>
              <w:t>，硫化氢</w:t>
            </w:r>
            <w:r>
              <w:rPr>
                <w:rFonts w:hint="eastAsia" w:ascii="Times New Roman" w:hAnsi="Times New Roman" w:eastAsia="宋体" w:cs="Times New Roman"/>
                <w:sz w:val="21"/>
                <w:szCs w:val="21"/>
                <w:lang w:val="en-US" w:eastAsia="zh-CN"/>
              </w:rPr>
              <w:t>、氨、臭气浓度满足</w:t>
            </w:r>
            <w:r>
              <w:rPr>
                <w:rFonts w:hint="default" w:ascii="Times New Roman" w:hAnsi="Times New Roman" w:eastAsia="宋体" w:cs="Times New Roman"/>
                <w:sz w:val="21"/>
                <w:szCs w:val="21"/>
                <w:lang w:val="en-US" w:eastAsia="zh-CN"/>
              </w:rPr>
              <w:t>《恶臭污染物排放标准》（GB14554-</w:t>
            </w:r>
            <w:r>
              <w:rPr>
                <w:rFonts w:hint="eastAsia" w:ascii="Times New Roman" w:hAnsi="Times New Roman" w:eastAsia="宋体" w:cs="Times New Roman"/>
                <w:sz w:val="21"/>
                <w:szCs w:val="21"/>
                <w:lang w:val="en-US" w:eastAsia="zh-CN"/>
              </w:rPr>
              <w:t>19</w:t>
            </w:r>
            <w:r>
              <w:rPr>
                <w:rFonts w:hint="default" w:ascii="Times New Roman" w:hAnsi="Times New Roman" w:eastAsia="宋体" w:cs="Times New Roman"/>
                <w:sz w:val="21"/>
                <w:szCs w:val="21"/>
                <w:lang w:val="en-US" w:eastAsia="zh-CN"/>
              </w:rPr>
              <w:t>93）。</w:t>
            </w:r>
            <w:r>
              <w:rPr>
                <w:rFonts w:hint="eastAsia" w:ascii="Times New Roman" w:hAnsi="Times New Roman" w:eastAsia="宋体" w:cs="Times New Roman"/>
                <w:sz w:val="21"/>
                <w:szCs w:val="21"/>
                <w:lang w:val="en-US" w:eastAsia="zh-CN"/>
              </w:rPr>
              <w:t>厂内无组织废气非甲烷总烃满足安徽省地方标准《固定源挥发性有机物综合排放标准第</w:t>
            </w:r>
            <w:r>
              <w:rPr>
                <w:rFonts w:hint="default" w:ascii="Times New Roman" w:hAnsi="Times New Roman" w:eastAsia="宋体" w:cs="Times New Roman"/>
                <w:sz w:val="21"/>
                <w:szCs w:val="21"/>
                <w:lang w:val="en-US" w:eastAsia="zh-CN"/>
              </w:rPr>
              <w:t>3</w:t>
            </w:r>
            <w:r>
              <w:rPr>
                <w:rFonts w:hint="eastAsia" w:ascii="Times New Roman" w:hAnsi="Times New Roman" w:eastAsia="宋体" w:cs="Times New Roman"/>
                <w:sz w:val="21"/>
                <w:szCs w:val="21"/>
                <w:lang w:val="en-US" w:eastAsia="zh-CN"/>
              </w:rPr>
              <w:t>部分：有机化学品制造工业》。</w:t>
            </w:r>
          </w:p>
          <w:p w14:paraId="3D84D0E2">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废水：废水执行</w:t>
            </w:r>
            <w:r>
              <w:rPr>
                <w:rFonts w:hint="default" w:ascii="Times New Roman" w:hAnsi="Times New Roman" w:eastAsia="宋体" w:cs="Times New Roman"/>
                <w:sz w:val="21"/>
                <w:szCs w:val="21"/>
                <w:lang w:val="en-US" w:eastAsia="zh-CN"/>
              </w:rPr>
              <w:t>安庆亚同城西污水厂标准执行接管协议标准值。</w:t>
            </w:r>
          </w:p>
          <w:p w14:paraId="68353893">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sz w:val="21"/>
                <w:szCs w:val="21"/>
                <w:lang w:val="en-US" w:eastAsia="zh-CN"/>
              </w:rPr>
            </w:pPr>
            <w:r>
              <w:rPr>
                <w:rFonts w:hint="eastAsia" w:ascii="Times New Roman" w:hAnsi="Times New Roman" w:eastAsia="宋体" w:cs="Times New Roman"/>
                <w:sz w:val="21"/>
                <w:szCs w:val="21"/>
                <w:lang w:val="en-US" w:eastAsia="zh-CN"/>
              </w:rPr>
              <w:t>噪声：</w:t>
            </w:r>
            <w:r>
              <w:rPr>
                <w:rFonts w:hint="default" w:ascii="Times New Roman" w:hAnsi="Times New Roman" w:eastAsia="宋体" w:cs="Times New Roman"/>
                <w:sz w:val="21"/>
                <w:szCs w:val="21"/>
                <w:lang w:val="en-US" w:eastAsia="zh-CN"/>
              </w:rPr>
              <w:t>厂界噪声执行《工业企业厂界环境噪声排放标准》（GB12348-2008）3类标准。</w:t>
            </w:r>
          </w:p>
        </w:tc>
        <w:tc>
          <w:tcPr>
            <w:tcW w:w="707" w:type="dxa"/>
            <w:noWrap w:val="0"/>
            <w:vAlign w:val="center"/>
          </w:tcPr>
          <w:p w14:paraId="47BAA395">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sz w:val="21"/>
                <w:szCs w:val="21"/>
                <w:lang w:val="en-US" w:eastAsia="zh-CN"/>
              </w:rPr>
            </w:pPr>
            <w:r>
              <w:rPr>
                <w:rFonts w:hint="eastAsia"/>
                <w:sz w:val="21"/>
                <w:szCs w:val="21"/>
                <w:lang w:val="en-US" w:eastAsia="zh-CN"/>
              </w:rPr>
              <w:t>否</w:t>
            </w:r>
          </w:p>
        </w:tc>
      </w:tr>
    </w:tbl>
    <w:p w14:paraId="08161E97">
      <w:pPr>
        <w:pStyle w:val="4"/>
        <w:bidi w:val="0"/>
        <w:rPr>
          <w:rFonts w:hint="eastAsia"/>
          <w:lang w:val="en-US" w:eastAsia="zh-CN"/>
        </w:rPr>
      </w:pPr>
      <w:r>
        <w:rPr>
          <w:rFonts w:hint="eastAsia"/>
          <w:lang w:val="en-US" w:eastAsia="zh-CN"/>
        </w:rPr>
        <w:t>3环境影响分析说明</w:t>
      </w:r>
    </w:p>
    <w:p w14:paraId="4D008373">
      <w:pPr>
        <w:pStyle w:val="5"/>
        <w:bidi w:val="0"/>
        <w:rPr>
          <w:rFonts w:hint="eastAsia"/>
          <w:lang w:val="en-US" w:eastAsia="zh-CN"/>
        </w:rPr>
      </w:pPr>
      <w:r>
        <w:rPr>
          <w:rFonts w:hint="eastAsia"/>
          <w:lang w:val="en-US" w:eastAsia="zh-CN"/>
        </w:rPr>
        <w:t>3.1污染物变动情况</w:t>
      </w:r>
    </w:p>
    <w:p w14:paraId="65586BCA">
      <w:pPr>
        <w:widowControl/>
        <w:adjustRightInd w:val="0"/>
        <w:snapToGrid w:val="0"/>
        <w:spacing w:line="360" w:lineRule="auto"/>
        <w:ind w:firstLine="480" w:firstLine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项目建设过程中结合实际情况发生变动情况见</w:t>
      </w:r>
      <w:r>
        <w:rPr>
          <w:rFonts w:hint="eastAsia" w:ascii="Times New Roman" w:hAnsi="Times New Roman" w:eastAsia="宋体" w:cs="Times New Roman"/>
          <w:kern w:val="0"/>
          <w:sz w:val="24"/>
          <w:szCs w:val="24"/>
          <w:lang w:val="en-US" w:eastAsia="zh-CN"/>
        </w:rPr>
        <w:t>虾</w:t>
      </w:r>
      <w:r>
        <w:rPr>
          <w:rFonts w:hint="default" w:ascii="Times New Roman" w:hAnsi="Times New Roman" w:eastAsia="宋体" w:cs="Times New Roman"/>
          <w:kern w:val="0"/>
          <w:sz w:val="24"/>
          <w:szCs w:val="24"/>
        </w:rPr>
        <w:t>表。其余建设内容与环评一致。</w:t>
      </w:r>
      <w:r>
        <w:rPr>
          <w:rFonts w:hint="default" w:ascii="Times New Roman" w:hAnsi="Times New Roman" w:eastAsia="宋体" w:cs="Times New Roman"/>
          <w:kern w:val="0"/>
          <w:sz w:val="24"/>
          <w:szCs w:val="24"/>
          <w:lang w:eastAsia="zh-CN"/>
        </w:rPr>
        <w:t>对照《污染影响类建设项目重大变动清单（试行）》，本</w:t>
      </w:r>
      <w:r>
        <w:rPr>
          <w:rFonts w:hint="default" w:ascii="Times New Roman" w:hAnsi="Times New Roman" w:eastAsia="宋体" w:cs="Times New Roman"/>
          <w:kern w:val="0"/>
          <w:sz w:val="24"/>
          <w:szCs w:val="24"/>
        </w:rPr>
        <w:t>项目所有变动不属于重大变更，因此无需重新报批环评。</w:t>
      </w:r>
    </w:p>
    <w:p w14:paraId="13F69BE6">
      <w:pPr>
        <w:bidi w:val="0"/>
        <w:adjustRightInd w:val="0"/>
        <w:snapToGrid w:val="0"/>
        <w:spacing w:line="360" w:lineRule="auto"/>
        <w:ind w:firstLine="0" w:firstLineChars="0"/>
        <w:jc w:val="center"/>
        <w:rPr>
          <w:rFonts w:hint="default" w:ascii="Times New Roman" w:hAnsi="Times New Roman" w:eastAsia="宋体" w:cs="Times New Roman"/>
          <w:b/>
          <w:bCs/>
          <w:snapToGrid w:val="0"/>
          <w:sz w:val="24"/>
          <w:szCs w:val="24"/>
          <w:lang w:val="en-US" w:eastAsia="zh-CN" w:bidi="ar-SA"/>
        </w:rPr>
      </w:pPr>
      <w:r>
        <w:rPr>
          <w:rFonts w:hint="default" w:ascii="Times New Roman" w:hAnsi="Times New Roman" w:eastAsia="宋体" w:cs="Times New Roman"/>
          <w:b/>
          <w:bCs/>
          <w:snapToGrid w:val="0"/>
          <w:sz w:val="24"/>
          <w:szCs w:val="24"/>
          <w:lang w:val="en-US" w:eastAsia="zh-CN" w:bidi="ar-SA"/>
        </w:rPr>
        <w:t>表3-1 项目变动与《污染影响类建设项目重大变动清单（试行）》对照表</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
        <w:gridCol w:w="2258"/>
        <w:gridCol w:w="2392"/>
        <w:gridCol w:w="1845"/>
        <w:gridCol w:w="1679"/>
      </w:tblGrid>
      <w:tr w14:paraId="1D986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348" w:type="dxa"/>
            <w:noWrap w:val="0"/>
            <w:vAlign w:val="center"/>
          </w:tcPr>
          <w:p w14:paraId="2769233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bottom"/>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序号</w:t>
            </w:r>
          </w:p>
        </w:tc>
        <w:tc>
          <w:tcPr>
            <w:tcW w:w="2258" w:type="dxa"/>
            <w:noWrap w:val="0"/>
            <w:vAlign w:val="center"/>
          </w:tcPr>
          <w:p w14:paraId="4770455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bottom"/>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《污染影响类建设项目重大变动清单（试行）》</w:t>
            </w:r>
          </w:p>
        </w:tc>
        <w:tc>
          <w:tcPr>
            <w:tcW w:w="2392" w:type="dxa"/>
            <w:noWrap w:val="0"/>
            <w:vAlign w:val="center"/>
          </w:tcPr>
          <w:p w14:paraId="0647A48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bottom"/>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环评设计内容</w:t>
            </w:r>
          </w:p>
        </w:tc>
        <w:tc>
          <w:tcPr>
            <w:tcW w:w="1845" w:type="dxa"/>
            <w:noWrap w:val="0"/>
            <w:vAlign w:val="center"/>
          </w:tcPr>
          <w:p w14:paraId="7D24501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bottom"/>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实际建设内容</w:t>
            </w:r>
          </w:p>
        </w:tc>
        <w:tc>
          <w:tcPr>
            <w:tcW w:w="1679" w:type="dxa"/>
            <w:noWrap w:val="0"/>
            <w:vAlign w:val="center"/>
          </w:tcPr>
          <w:p w14:paraId="591F504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bottom"/>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是否发生重大变动</w:t>
            </w:r>
          </w:p>
        </w:tc>
      </w:tr>
      <w:tr w14:paraId="6E98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348" w:type="dxa"/>
            <w:noWrap w:val="0"/>
            <w:vAlign w:val="center"/>
          </w:tcPr>
          <w:p w14:paraId="4CE79BE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bottom"/>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1</w:t>
            </w:r>
          </w:p>
        </w:tc>
        <w:tc>
          <w:tcPr>
            <w:tcW w:w="2258" w:type="dxa"/>
            <w:noWrap w:val="0"/>
            <w:vAlign w:val="top"/>
          </w:tcPr>
          <w:p w14:paraId="627F4609">
            <w:pPr>
              <w:keepNext w:val="0"/>
              <w:keepLines w:val="0"/>
              <w:pageBreakBefore w:val="0"/>
              <w:widowControl/>
              <w:numPr>
                <w:ilvl w:val="0"/>
                <w:numId w:val="0"/>
              </w:numPr>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1.生产、处置或储存能力增大30%及以上的。</w:t>
            </w:r>
          </w:p>
          <w:p w14:paraId="3A524CB3">
            <w:pPr>
              <w:keepNext w:val="0"/>
              <w:keepLines w:val="0"/>
              <w:pageBreakBefore w:val="0"/>
              <w:widowControl/>
              <w:numPr>
                <w:ilvl w:val="0"/>
                <w:numId w:val="0"/>
              </w:numPr>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2.生产、处置或储存能力增大，导致废水第一类污染物排放量增加的。</w:t>
            </w:r>
          </w:p>
          <w:p w14:paraId="1DC88F82">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3.位于环境质量不达标区的建设项目生产、处置或储存能力增大，导致相应污染物排放量增加的</w:t>
            </w:r>
          </w:p>
        </w:tc>
        <w:tc>
          <w:tcPr>
            <w:tcW w:w="2392" w:type="dxa"/>
            <w:noWrap w:val="0"/>
            <w:vAlign w:val="center"/>
          </w:tcPr>
          <w:p w14:paraId="378E7772">
            <w:pPr>
              <w:keepNext w:val="0"/>
              <w:keepLines w:val="0"/>
              <w:pageBreakBefore w:val="0"/>
              <w:widowControl/>
              <w:numPr>
                <w:ilvl w:val="0"/>
                <w:numId w:val="0"/>
              </w:numPr>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一阶段产品:3000t/a碳酸亚乙烯酯(VC)，1000t/a氟代碳酸乙烯酯(FEC)、500t/a二氟代碳酸乙烯酯(DFEC)、500t/a硫酸乙烯酯(DTD)</w:t>
            </w:r>
            <w:r>
              <w:rPr>
                <w:rFonts w:hint="eastAsia" w:ascii="Times New Roman" w:hAnsi="Times New Roman" w:eastAsia="宋体" w:cs="Times New Roman"/>
                <w:sz w:val="21"/>
                <w:szCs w:val="20"/>
                <w:lang w:val="en-US" w:eastAsia="zh-CN" w:bidi="ar-SA"/>
              </w:rPr>
              <w:t>；</w:t>
            </w:r>
            <w:r>
              <w:rPr>
                <w:rFonts w:hint="default" w:ascii="Times New Roman" w:hAnsi="Times New Roman" w:eastAsia="宋体" w:cs="Times New Roman"/>
                <w:sz w:val="21"/>
                <w:szCs w:val="20"/>
                <w:lang w:val="en-US" w:eastAsia="zh-CN" w:bidi="ar-SA"/>
              </w:rPr>
              <w:t>副产:2277t/a氯化钠、370t/a碳酸乙烯酯(EC)、490t/a二氯代碳酸乙烯酯。二阶段产品:50t/a奈玛特韦、50t/a中间体(CP-W1001)、100t/a中间体(PF-B-07)</w:t>
            </w:r>
            <w:r>
              <w:rPr>
                <w:rFonts w:hint="eastAsia" w:ascii="Times New Roman" w:hAnsi="Times New Roman" w:eastAsia="宋体" w:cs="Times New Roman"/>
                <w:sz w:val="21"/>
                <w:szCs w:val="20"/>
                <w:lang w:val="en-US" w:eastAsia="zh-CN" w:bidi="ar-SA"/>
              </w:rPr>
              <w:t>；</w:t>
            </w:r>
            <w:r>
              <w:rPr>
                <w:rFonts w:hint="default" w:ascii="Times New Roman" w:hAnsi="Times New Roman" w:eastAsia="宋体" w:cs="Times New Roman"/>
                <w:sz w:val="21"/>
                <w:szCs w:val="20"/>
                <w:lang w:val="en-US" w:eastAsia="zh-CN" w:bidi="ar-SA"/>
              </w:rPr>
              <w:t>副产:75t/a 30%盐酸、270t/a氯化钠、300t/a硫酸铵、810t/a氢溴酸。</w:t>
            </w:r>
          </w:p>
        </w:tc>
        <w:tc>
          <w:tcPr>
            <w:tcW w:w="1845" w:type="dxa"/>
            <w:noWrap w:val="0"/>
            <w:vAlign w:val="center"/>
          </w:tcPr>
          <w:p w14:paraId="65959A09">
            <w:pPr>
              <w:keepNext w:val="0"/>
              <w:keepLines w:val="0"/>
              <w:pageBreakBefore w:val="0"/>
              <w:widowControl/>
              <w:numPr>
                <w:ilvl w:val="0"/>
                <w:numId w:val="0"/>
              </w:numPr>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3000t/a碳酸亚乙烯酯(VC)</w:t>
            </w:r>
          </w:p>
        </w:tc>
        <w:tc>
          <w:tcPr>
            <w:tcW w:w="1679" w:type="dxa"/>
            <w:noWrap w:val="0"/>
            <w:vAlign w:val="center"/>
          </w:tcPr>
          <w:p w14:paraId="679D282A">
            <w:pPr>
              <w:keepNext w:val="0"/>
              <w:keepLines w:val="0"/>
              <w:pageBreakBefore w:val="0"/>
              <w:widowControl/>
              <w:numPr>
                <w:ilvl w:val="0"/>
                <w:numId w:val="0"/>
              </w:numPr>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生产、处置或储存能力</w:t>
            </w:r>
            <w:r>
              <w:rPr>
                <w:rFonts w:hint="eastAsia" w:ascii="Times New Roman" w:hAnsi="Times New Roman" w:eastAsia="宋体" w:cs="Times New Roman"/>
                <w:sz w:val="21"/>
                <w:szCs w:val="20"/>
                <w:lang w:val="en-US" w:eastAsia="zh-CN" w:bidi="ar-SA"/>
              </w:rPr>
              <w:t>减小</w:t>
            </w:r>
            <w:r>
              <w:rPr>
                <w:rFonts w:hint="default" w:ascii="Times New Roman" w:hAnsi="Times New Roman" w:eastAsia="宋体" w:cs="Times New Roman"/>
                <w:sz w:val="21"/>
                <w:szCs w:val="20"/>
                <w:lang w:val="en-US" w:eastAsia="zh-CN" w:bidi="ar-SA"/>
              </w:rPr>
              <w:t>，不属于重大变动</w:t>
            </w:r>
          </w:p>
        </w:tc>
      </w:tr>
      <w:tr w14:paraId="551AB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348" w:type="dxa"/>
            <w:noWrap w:val="0"/>
            <w:vAlign w:val="center"/>
          </w:tcPr>
          <w:p w14:paraId="493758C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bottom"/>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2</w:t>
            </w:r>
          </w:p>
        </w:tc>
        <w:tc>
          <w:tcPr>
            <w:tcW w:w="2258" w:type="dxa"/>
            <w:noWrap w:val="0"/>
            <w:vAlign w:val="top"/>
          </w:tcPr>
          <w:p w14:paraId="269696AE">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新增产品品种或生产工艺(含主要生产装置、设备及配套设施)、主要原辅材料、燃料变化，导致以下情形之一：</w:t>
            </w:r>
          </w:p>
          <w:p w14:paraId="18833091">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（1）新增排放污染物种类的（毒性、挥发性降低的除外）；</w:t>
            </w:r>
          </w:p>
          <w:p w14:paraId="44C5D072">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（2）位于环境质量不达标区的建设项目相应污染物排放量增加的；</w:t>
            </w:r>
          </w:p>
          <w:p w14:paraId="21B732BD">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(3)废水第一类污染物排放量增加的；</w:t>
            </w:r>
          </w:p>
          <w:p w14:paraId="0D6B8111">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(4)其他污染物排放量增加10%及以上的。</w:t>
            </w:r>
          </w:p>
        </w:tc>
        <w:tc>
          <w:tcPr>
            <w:tcW w:w="2392" w:type="dxa"/>
            <w:noWrap w:val="0"/>
            <w:vAlign w:val="center"/>
          </w:tcPr>
          <w:p w14:paraId="462ADEC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bottom"/>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（1）新增了离心机；</w:t>
            </w:r>
          </w:p>
          <w:p w14:paraId="3EA4C47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bottom"/>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（2）取消了DMC、30%氢氧化钠等原辅料</w:t>
            </w:r>
          </w:p>
        </w:tc>
        <w:tc>
          <w:tcPr>
            <w:tcW w:w="1845" w:type="dxa"/>
            <w:noWrap w:val="0"/>
            <w:vAlign w:val="center"/>
          </w:tcPr>
          <w:p w14:paraId="4B361CD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bottom"/>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18"/>
                <w:lang w:val="en-US" w:eastAsia="zh-CN" w:bidi="ar-SA"/>
              </w:rPr>
              <w:t>（1）离心机代替原过滤工序；</w:t>
            </w:r>
          </w:p>
          <w:p w14:paraId="55DA84A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bottom"/>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（2）因实际生产工艺调整，取消部分原辅料</w:t>
            </w:r>
          </w:p>
        </w:tc>
        <w:tc>
          <w:tcPr>
            <w:tcW w:w="1679" w:type="dxa"/>
            <w:noWrap w:val="0"/>
            <w:vAlign w:val="center"/>
          </w:tcPr>
          <w:p w14:paraId="2A4638E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bottom"/>
              <w:rPr>
                <w:rFonts w:hint="default" w:ascii="Times New Roman" w:hAnsi="Times New Roman" w:eastAsia="宋体" w:cs="Times New Roman"/>
                <w:kern w:val="0"/>
                <w:sz w:val="21"/>
                <w:szCs w:val="18"/>
                <w:vertAlign w:val="baseline"/>
                <w:lang w:val="en-US" w:eastAsia="zh-CN" w:bidi="ar-SA"/>
              </w:rPr>
            </w:pPr>
            <w:r>
              <w:rPr>
                <w:rFonts w:hint="default" w:ascii="Times New Roman" w:hAnsi="Times New Roman" w:eastAsia="宋体" w:cs="Times New Roman"/>
                <w:kern w:val="0"/>
                <w:sz w:val="21"/>
                <w:szCs w:val="18"/>
                <w:vertAlign w:val="baseline"/>
                <w:lang w:val="en-US" w:eastAsia="zh-CN" w:bidi="ar-SA"/>
              </w:rPr>
              <w:t>设备和原辅料的变化未新增排放污染物种类，未导致废水第一类污染物排放量增加，根据监测结果核算，污染物排放量未超过环评中核算总量，因此不属于重大变动</w:t>
            </w:r>
          </w:p>
        </w:tc>
      </w:tr>
      <w:tr w14:paraId="5A3CB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48" w:type="dxa"/>
            <w:vMerge w:val="restart"/>
            <w:noWrap w:val="0"/>
            <w:vAlign w:val="center"/>
          </w:tcPr>
          <w:p w14:paraId="365C0689">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eastAsia" w:ascii="Times New Roman" w:hAnsi="Times New Roman" w:eastAsia="宋体" w:cs="Times New Roman"/>
                <w:sz w:val="21"/>
                <w:szCs w:val="20"/>
                <w:lang w:val="en-US" w:eastAsia="zh-CN" w:bidi="ar-SA"/>
              </w:rPr>
              <w:t>3</w:t>
            </w:r>
            <w:r>
              <w:rPr>
                <w:rFonts w:hint="default" w:ascii="Times New Roman" w:hAnsi="Times New Roman" w:eastAsia="宋体" w:cs="Times New Roman"/>
                <w:sz w:val="21"/>
                <w:szCs w:val="20"/>
                <w:lang w:val="en-US" w:eastAsia="zh-CN" w:bidi="ar-SA"/>
              </w:rPr>
              <w:t>3</w:t>
            </w:r>
          </w:p>
          <w:p w14:paraId="01D0E806">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4</w:t>
            </w:r>
          </w:p>
        </w:tc>
        <w:tc>
          <w:tcPr>
            <w:tcW w:w="2258" w:type="dxa"/>
            <w:vMerge w:val="restart"/>
            <w:noWrap w:val="0"/>
            <w:vAlign w:val="top"/>
          </w:tcPr>
          <w:p w14:paraId="287E6EF2">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废气、废水污染防治措施变化，导致第6条中所列情形之一（废气无组织排放改为有组织排放、污染防治措施强化或改进的除外）或大气污染物无组织排放量增加10%及以上的。</w:t>
            </w:r>
          </w:p>
          <w:p w14:paraId="2EF56F36">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固体废物利用处置方式由委托外单位利用处置改为自行利用处置的（自行利用处置设施单独开展环境影响评价的除外）；固体废物自行处置方式变化，导致不利环境影响加重的。</w:t>
            </w:r>
          </w:p>
        </w:tc>
        <w:tc>
          <w:tcPr>
            <w:tcW w:w="2392" w:type="dxa"/>
            <w:noWrap w:val="0"/>
            <w:vAlign w:val="center"/>
          </w:tcPr>
          <w:p w14:paraId="092AFB27">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含卤废气经“碱喷淋+深冷+超重力吸收+活性炭吸附组合处理工艺”处理后经25米高排气筒排放；普通废气经RTO燃烧装置处理后经25米高排气筒排放。罐区废气及危废库废气经过二级活性炭吸附+25m排气筒排放；污水处理站废气经过碱洗喷淋塔+生物滤池+25m排气筒排放。</w:t>
            </w:r>
          </w:p>
        </w:tc>
        <w:tc>
          <w:tcPr>
            <w:tcW w:w="1845" w:type="dxa"/>
            <w:noWrap w:val="0"/>
            <w:vAlign w:val="center"/>
          </w:tcPr>
          <w:p w14:paraId="28835652">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含卤废气经</w:t>
            </w:r>
            <w:r>
              <w:rPr>
                <w:rFonts w:hint="eastAsia" w:ascii="Times New Roman" w:hAnsi="Times New Roman" w:eastAsia="宋体" w:cs="Times New Roman"/>
                <w:spacing w:val="0"/>
                <w:kern w:val="0"/>
                <w:sz w:val="21"/>
                <w:szCs w:val="20"/>
                <w:lang w:val="en-US" w:eastAsia="zh-CN" w:bidi="ar-SA"/>
              </w:rPr>
              <w:t>深冷+碱喷淋+活性炭吸附</w:t>
            </w:r>
            <w:r>
              <w:rPr>
                <w:rFonts w:hint="default" w:ascii="Times New Roman" w:hAnsi="Times New Roman" w:eastAsia="宋体" w:cs="Times New Roman"/>
                <w:sz w:val="21"/>
                <w:szCs w:val="20"/>
                <w:lang w:val="en-US" w:eastAsia="zh-CN" w:bidi="ar-SA"/>
              </w:rPr>
              <w:t>处理后经25米高排气筒排放；</w:t>
            </w:r>
            <w:r>
              <w:rPr>
                <w:rFonts w:hint="eastAsia" w:ascii="Times New Roman" w:hAnsi="Times New Roman" w:eastAsia="宋体" w:cs="Times New Roman"/>
                <w:sz w:val="21"/>
                <w:szCs w:val="20"/>
                <w:lang w:val="en-US" w:eastAsia="zh-CN" w:bidi="ar-SA"/>
              </w:rPr>
              <w:t>无卤</w:t>
            </w:r>
            <w:r>
              <w:rPr>
                <w:rFonts w:hint="default" w:ascii="Times New Roman" w:hAnsi="Times New Roman" w:eastAsia="宋体" w:cs="Times New Roman"/>
                <w:sz w:val="21"/>
                <w:szCs w:val="20"/>
                <w:lang w:val="en-US" w:eastAsia="zh-CN" w:bidi="ar-SA"/>
              </w:rPr>
              <w:t>废气经RTO燃烧装置处理后经25米高排气筒排放。罐区废气及危废库废气经过二级活性炭吸附+25m排气筒排放；污水处理站废气经过碱洗喷淋塔+生物滤池+25m排气筒排放</w:t>
            </w:r>
            <w:r>
              <w:rPr>
                <w:rFonts w:hint="eastAsia" w:ascii="Times New Roman" w:hAnsi="Times New Roman" w:eastAsia="宋体" w:cs="Times New Roman"/>
                <w:sz w:val="21"/>
                <w:szCs w:val="20"/>
                <w:lang w:val="en-US" w:eastAsia="zh-CN" w:bidi="ar-SA"/>
              </w:rPr>
              <w:t>。</w:t>
            </w:r>
          </w:p>
        </w:tc>
        <w:tc>
          <w:tcPr>
            <w:tcW w:w="1679" w:type="dxa"/>
            <w:noWrap w:val="0"/>
            <w:vAlign w:val="center"/>
          </w:tcPr>
          <w:p w14:paraId="5E2E343D">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eastAsia" w:ascii="Times New Roman" w:hAnsi="Times New Roman" w:eastAsia="宋体" w:cs="Times New Roman"/>
                <w:sz w:val="21"/>
                <w:szCs w:val="20"/>
                <w:lang w:val="en-US" w:eastAsia="zh-CN" w:bidi="ar-SA"/>
              </w:rPr>
              <w:t>对比一般变动分析，</w:t>
            </w:r>
            <w:r>
              <w:rPr>
                <w:rFonts w:hint="default" w:ascii="Times New Roman" w:hAnsi="Times New Roman" w:eastAsia="宋体" w:cs="Times New Roman"/>
                <w:sz w:val="21"/>
                <w:szCs w:val="20"/>
                <w:lang w:val="en-US" w:eastAsia="zh-CN" w:bidi="ar-SA"/>
              </w:rPr>
              <w:t>废气污染防治措施未发生变化</w:t>
            </w:r>
            <w:r>
              <w:rPr>
                <w:rFonts w:hint="eastAsia" w:ascii="Times New Roman" w:hAnsi="Times New Roman" w:eastAsia="宋体" w:cs="Times New Roman"/>
                <w:sz w:val="21"/>
                <w:szCs w:val="20"/>
                <w:lang w:val="en-US" w:eastAsia="zh-CN" w:bidi="ar-SA"/>
              </w:rPr>
              <w:t>，</w:t>
            </w:r>
            <w:r>
              <w:rPr>
                <w:rFonts w:hint="default" w:ascii="Times New Roman" w:hAnsi="Times New Roman" w:eastAsia="宋体" w:cs="Times New Roman"/>
                <w:sz w:val="21"/>
                <w:szCs w:val="18"/>
                <w:vertAlign w:val="baseline"/>
                <w:lang w:val="en-US" w:eastAsia="zh-CN" w:bidi="ar-SA"/>
              </w:rPr>
              <w:t>因此不属于重大变动</w:t>
            </w:r>
            <w:r>
              <w:rPr>
                <w:rFonts w:hint="eastAsia" w:ascii="Times New Roman" w:hAnsi="Times New Roman" w:eastAsia="宋体" w:cs="Times New Roman"/>
                <w:sz w:val="21"/>
                <w:szCs w:val="18"/>
                <w:vertAlign w:val="baseline"/>
                <w:lang w:val="en-US" w:eastAsia="zh-CN" w:bidi="ar-SA"/>
              </w:rPr>
              <w:t>。</w:t>
            </w:r>
          </w:p>
        </w:tc>
      </w:tr>
      <w:tr w14:paraId="3A05D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48" w:type="dxa"/>
            <w:vMerge w:val="continue"/>
            <w:noWrap w:val="0"/>
            <w:vAlign w:val="center"/>
          </w:tcPr>
          <w:p w14:paraId="4C3C4D8F">
            <w:pPr>
              <w:keepNext w:val="0"/>
              <w:keepLines w:val="0"/>
              <w:pageBreakBefore w:val="0"/>
              <w:widowControl/>
              <w:kinsoku/>
              <w:wordWrap/>
              <w:overflowPunct/>
              <w:topLinePunct w:val="0"/>
              <w:bidi w:val="0"/>
              <w:adjustRightInd w:val="0"/>
              <w:snapToGrid w:val="0"/>
              <w:spacing w:line="240" w:lineRule="auto"/>
              <w:ind w:firstLine="0" w:firstLineChars="0"/>
              <w:jc w:val="left"/>
              <w:rPr>
                <w:rFonts w:ascii="Times New Roman" w:hAnsi="Times New Roman" w:eastAsia="宋体" w:cs="Times New Roman"/>
                <w:sz w:val="21"/>
                <w:szCs w:val="20"/>
                <w:lang w:val="en-US" w:eastAsia="zh-CN" w:bidi="ar-SA"/>
              </w:rPr>
            </w:pPr>
          </w:p>
        </w:tc>
        <w:tc>
          <w:tcPr>
            <w:tcW w:w="2258" w:type="dxa"/>
            <w:vMerge w:val="continue"/>
            <w:noWrap w:val="0"/>
            <w:vAlign w:val="top"/>
          </w:tcPr>
          <w:p w14:paraId="2786C55E">
            <w:pPr>
              <w:keepNext w:val="0"/>
              <w:keepLines w:val="0"/>
              <w:pageBreakBefore w:val="0"/>
              <w:widowControl/>
              <w:kinsoku/>
              <w:wordWrap/>
              <w:overflowPunct/>
              <w:topLinePunct w:val="0"/>
              <w:bidi w:val="0"/>
              <w:adjustRightInd w:val="0"/>
              <w:snapToGrid w:val="0"/>
              <w:spacing w:line="240" w:lineRule="auto"/>
              <w:ind w:firstLine="0" w:firstLineChars="0"/>
              <w:jc w:val="left"/>
              <w:rPr>
                <w:rFonts w:ascii="Times New Roman" w:hAnsi="Times New Roman" w:eastAsia="宋体" w:cs="Times New Roman"/>
                <w:sz w:val="21"/>
                <w:szCs w:val="20"/>
                <w:lang w:val="en-US" w:eastAsia="zh-CN" w:bidi="ar-SA"/>
              </w:rPr>
            </w:pPr>
          </w:p>
        </w:tc>
        <w:tc>
          <w:tcPr>
            <w:tcW w:w="2392" w:type="dxa"/>
            <w:noWrap w:val="0"/>
            <w:vAlign w:val="center"/>
          </w:tcPr>
          <w:p w14:paraId="26856A32">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厂区生活污水和生产废水进入厂区污水处理站处理；厂区污水处理站处理工艺：</w:t>
            </w:r>
          </w:p>
          <w:p w14:paraId="34FE9767">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高浓废水经过高浓废水处理装置（高浓度废水收集池+气浮池+过滤器+高级氧化装置）预处理；高盐废水经过高盐废水处理装置（高盐废水收集池+多效蒸发）预处理；与其它低浓废水一起进入综合调节池进行后续处置（初沉池+水解酸化池+配水池+IC厌氧池+二级A/O+二沉池），处理后达到安庆亚同城西污水处理厂接管标准通过厂区排口集中排入安庆亚同城西污水处理厂。</w:t>
            </w:r>
          </w:p>
          <w:p w14:paraId="628FE076">
            <w:pPr>
              <w:keepNext w:val="0"/>
              <w:keepLines w:val="0"/>
              <w:pageBreakBefore w:val="0"/>
              <w:widowControl/>
              <w:kinsoku/>
              <w:wordWrap/>
              <w:overflowPunct/>
              <w:topLinePunct w:val="0"/>
              <w:bidi w:val="0"/>
              <w:adjustRightInd w:val="0"/>
              <w:snapToGrid w:val="0"/>
              <w:spacing w:line="240" w:lineRule="auto"/>
              <w:ind w:firstLine="0" w:firstLineChars="0"/>
              <w:jc w:val="left"/>
              <w:rPr>
                <w:rFonts w:hint="eastAsia" w:ascii="Times New Roman" w:hAnsi="Times New Roman" w:eastAsia="宋体" w:cs="Times New Roman"/>
                <w:sz w:val="21"/>
                <w:szCs w:val="20"/>
                <w:lang w:val="en-US" w:eastAsia="zh-CN" w:bidi="ar-SA"/>
              </w:rPr>
            </w:pPr>
            <w:r>
              <w:rPr>
                <w:rFonts w:hint="eastAsia" w:ascii="Times New Roman" w:hAnsi="Times New Roman" w:eastAsia="宋体" w:cs="Times New Roman"/>
                <w:sz w:val="21"/>
                <w:szCs w:val="20"/>
                <w:lang w:val="en-US" w:eastAsia="zh-CN" w:bidi="ar-SA"/>
              </w:rPr>
              <w:t>根据一般变动分析：</w:t>
            </w:r>
            <w:r>
              <w:rPr>
                <w:rFonts w:hint="eastAsia" w:ascii="Times New Roman" w:hAnsi="Times New Roman" w:eastAsia="宋体" w:cs="Times New Roman"/>
                <w:spacing w:val="0"/>
                <w:kern w:val="0"/>
                <w:sz w:val="21"/>
                <w:szCs w:val="20"/>
                <w:lang w:val="en-US" w:eastAsia="zh-CN" w:bidi="ar-SA"/>
              </w:rPr>
              <w:t>含卤废气的废气处理措施由“碱喷淋+深冷+超重力吸收+活性炭吸附组合处理工艺”处理后经103车间排气筒（DA002）排放变动为经“深冷+碱喷淋+活性炭吸附”（风量10000m</w:t>
            </w:r>
            <w:r>
              <w:rPr>
                <w:rFonts w:hint="eastAsia" w:ascii="Times New Roman" w:hAnsi="Times New Roman" w:eastAsia="宋体" w:cs="Times New Roman"/>
                <w:spacing w:val="0"/>
                <w:kern w:val="0"/>
                <w:sz w:val="21"/>
                <w:szCs w:val="20"/>
                <w:vertAlign w:val="superscript"/>
                <w:lang w:val="en-US" w:eastAsia="zh-CN" w:bidi="ar-SA"/>
              </w:rPr>
              <w:t>3</w:t>
            </w:r>
            <w:r>
              <w:rPr>
                <w:rFonts w:hint="eastAsia" w:ascii="Times New Roman" w:hAnsi="Times New Roman" w:eastAsia="宋体" w:cs="Times New Roman"/>
                <w:spacing w:val="0"/>
                <w:kern w:val="0"/>
                <w:sz w:val="21"/>
                <w:szCs w:val="20"/>
                <w:lang w:val="en-US" w:eastAsia="zh-CN" w:bidi="ar-SA"/>
              </w:rPr>
              <w:t>/h）处理后经104车间排气筒（原103车间DA002排气筒）排放。</w:t>
            </w:r>
          </w:p>
        </w:tc>
        <w:tc>
          <w:tcPr>
            <w:tcW w:w="1845" w:type="dxa"/>
            <w:noWrap w:val="0"/>
            <w:vAlign w:val="center"/>
          </w:tcPr>
          <w:p w14:paraId="4C010075">
            <w:pPr>
              <w:keepNext w:val="0"/>
              <w:keepLines w:val="0"/>
              <w:pageBreakBefore w:val="0"/>
              <w:widowControl/>
              <w:kinsoku/>
              <w:wordWrap/>
              <w:overflowPunct/>
              <w:topLinePunct w:val="0"/>
              <w:bidi w:val="0"/>
              <w:adjustRightInd w:val="0"/>
              <w:snapToGrid w:val="0"/>
              <w:spacing w:line="240" w:lineRule="auto"/>
              <w:ind w:firstLine="0" w:firstLineChars="0"/>
              <w:jc w:val="left"/>
              <w:rPr>
                <w:rFonts w:hint="eastAsia" w:ascii="Times New Roman" w:hAnsi="Times New Roman" w:eastAsia="宋体" w:cs="Times New Roman"/>
                <w:sz w:val="21"/>
                <w:szCs w:val="20"/>
                <w:lang w:val="en-US" w:eastAsia="zh-CN" w:bidi="ar-SA"/>
              </w:rPr>
            </w:pPr>
            <w:r>
              <w:rPr>
                <w:rFonts w:hint="eastAsia" w:ascii="Times New Roman" w:hAnsi="Times New Roman" w:eastAsia="宋体" w:cs="Times New Roman"/>
                <w:sz w:val="21"/>
                <w:szCs w:val="20"/>
                <w:lang w:val="en-US" w:eastAsia="zh-CN" w:bidi="ar-SA"/>
              </w:rPr>
              <w:t>无生产废水，生活污水</w:t>
            </w:r>
            <w:r>
              <w:rPr>
                <w:rFonts w:hint="default" w:ascii="Times New Roman" w:hAnsi="Times New Roman" w:eastAsia="宋体" w:cs="Times New Roman"/>
                <w:sz w:val="21"/>
                <w:szCs w:val="20"/>
                <w:lang w:val="en-US" w:eastAsia="zh-CN" w:bidi="ar-SA"/>
              </w:rPr>
              <w:t>进入厂区污水处理站处理</w:t>
            </w:r>
            <w:r>
              <w:rPr>
                <w:rFonts w:hint="eastAsia" w:ascii="Times New Roman" w:hAnsi="Times New Roman" w:eastAsia="宋体" w:cs="Times New Roman"/>
                <w:sz w:val="21"/>
                <w:szCs w:val="20"/>
                <w:lang w:val="en-US" w:eastAsia="zh-CN" w:bidi="ar-SA"/>
              </w:rPr>
              <w:t>排入亚同城西污水处理厂。</w:t>
            </w:r>
          </w:p>
        </w:tc>
        <w:tc>
          <w:tcPr>
            <w:tcW w:w="1679" w:type="dxa"/>
            <w:noWrap w:val="0"/>
            <w:vAlign w:val="center"/>
          </w:tcPr>
          <w:p w14:paraId="6F476F31">
            <w:pPr>
              <w:keepNext w:val="0"/>
              <w:keepLines w:val="0"/>
              <w:pageBreakBefore w:val="0"/>
              <w:widowControl/>
              <w:kinsoku/>
              <w:wordWrap/>
              <w:overflowPunct/>
              <w:topLinePunct w:val="0"/>
              <w:bidi w:val="0"/>
              <w:adjustRightInd w:val="0"/>
              <w:snapToGrid w:val="0"/>
              <w:spacing w:line="240" w:lineRule="auto"/>
              <w:ind w:firstLine="0" w:firstLineChars="0"/>
              <w:jc w:val="left"/>
              <w:rPr>
                <w:rFonts w:hint="eastAsia" w:ascii="Times New Roman" w:hAnsi="Times New Roman" w:eastAsia="宋体" w:cs="Times New Roman"/>
                <w:sz w:val="21"/>
                <w:szCs w:val="20"/>
                <w:lang w:val="en-US" w:eastAsia="zh-CN" w:bidi="ar-SA"/>
              </w:rPr>
            </w:pPr>
            <w:r>
              <w:rPr>
                <w:rFonts w:hint="eastAsia" w:ascii="Times New Roman" w:hAnsi="Times New Roman" w:eastAsia="宋体" w:cs="Times New Roman"/>
                <w:sz w:val="21"/>
                <w:szCs w:val="20"/>
                <w:lang w:val="en-US" w:eastAsia="zh-CN" w:bidi="ar-SA"/>
              </w:rPr>
              <w:t>无生产废水，其余无</w:t>
            </w:r>
            <w:r>
              <w:rPr>
                <w:rFonts w:hint="default" w:ascii="Times New Roman" w:hAnsi="Times New Roman" w:eastAsia="宋体" w:cs="Times New Roman"/>
                <w:sz w:val="21"/>
                <w:szCs w:val="20"/>
                <w:lang w:val="en-US" w:eastAsia="zh-CN" w:bidi="ar-SA"/>
              </w:rPr>
              <w:t>变化</w:t>
            </w:r>
            <w:r>
              <w:rPr>
                <w:rFonts w:hint="eastAsia" w:ascii="Times New Roman" w:hAnsi="Times New Roman" w:eastAsia="宋体" w:cs="Times New Roman"/>
                <w:sz w:val="21"/>
                <w:szCs w:val="20"/>
                <w:lang w:val="en-US" w:eastAsia="zh-CN" w:bidi="ar-SA"/>
              </w:rPr>
              <w:t>，</w:t>
            </w:r>
            <w:r>
              <w:rPr>
                <w:rFonts w:hint="default" w:ascii="Times New Roman" w:hAnsi="Times New Roman" w:eastAsia="宋体" w:cs="Times New Roman"/>
                <w:sz w:val="21"/>
                <w:szCs w:val="18"/>
                <w:vertAlign w:val="baseline"/>
                <w:lang w:val="en-US" w:eastAsia="zh-CN" w:bidi="ar-SA"/>
              </w:rPr>
              <w:t>因此不属于重大变动</w:t>
            </w:r>
            <w:r>
              <w:rPr>
                <w:rFonts w:hint="eastAsia" w:ascii="Times New Roman" w:hAnsi="Times New Roman" w:eastAsia="宋体" w:cs="Times New Roman"/>
                <w:sz w:val="21"/>
                <w:szCs w:val="18"/>
                <w:vertAlign w:val="baseline"/>
                <w:lang w:val="en-US" w:eastAsia="zh-CN" w:bidi="ar-SA"/>
              </w:rPr>
              <w:t>。</w:t>
            </w:r>
          </w:p>
        </w:tc>
      </w:tr>
      <w:tr w14:paraId="73D90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48" w:type="dxa"/>
            <w:vMerge w:val="continue"/>
            <w:noWrap w:val="0"/>
            <w:vAlign w:val="center"/>
          </w:tcPr>
          <w:p w14:paraId="3FCA4564">
            <w:pPr>
              <w:keepNext w:val="0"/>
              <w:keepLines w:val="0"/>
              <w:pageBreakBefore w:val="0"/>
              <w:widowControl/>
              <w:kinsoku/>
              <w:wordWrap/>
              <w:overflowPunct/>
              <w:topLinePunct w:val="0"/>
              <w:bidi w:val="0"/>
              <w:adjustRightInd w:val="0"/>
              <w:snapToGrid w:val="0"/>
              <w:spacing w:line="240" w:lineRule="auto"/>
              <w:ind w:firstLine="0" w:firstLineChars="0"/>
              <w:jc w:val="left"/>
              <w:rPr>
                <w:rFonts w:hint="eastAsia" w:ascii="Times New Roman" w:hAnsi="Times New Roman" w:eastAsia="宋体" w:cs="Times New Roman"/>
                <w:sz w:val="21"/>
                <w:szCs w:val="20"/>
                <w:lang w:val="en-US" w:eastAsia="zh-CN" w:bidi="ar-SA"/>
              </w:rPr>
            </w:pPr>
          </w:p>
        </w:tc>
        <w:tc>
          <w:tcPr>
            <w:tcW w:w="2258" w:type="dxa"/>
            <w:vMerge w:val="continue"/>
            <w:noWrap w:val="0"/>
            <w:vAlign w:val="top"/>
          </w:tcPr>
          <w:p w14:paraId="0FF58524">
            <w:pPr>
              <w:keepNext w:val="0"/>
              <w:keepLines w:val="0"/>
              <w:pageBreakBefore w:val="0"/>
              <w:widowControl/>
              <w:kinsoku/>
              <w:wordWrap/>
              <w:overflowPunct/>
              <w:topLinePunct w:val="0"/>
              <w:bidi w:val="0"/>
              <w:adjustRightInd w:val="0"/>
              <w:snapToGrid w:val="0"/>
              <w:spacing w:line="240" w:lineRule="auto"/>
              <w:ind w:firstLine="0" w:firstLineChars="0"/>
              <w:jc w:val="left"/>
              <w:rPr>
                <w:rFonts w:hint="eastAsia" w:ascii="Times New Roman" w:hAnsi="Times New Roman" w:eastAsia="宋体" w:cs="Times New Roman"/>
                <w:sz w:val="21"/>
                <w:szCs w:val="20"/>
                <w:lang w:val="en-US" w:eastAsia="zh-CN" w:bidi="ar-SA"/>
              </w:rPr>
            </w:pPr>
          </w:p>
        </w:tc>
        <w:tc>
          <w:tcPr>
            <w:tcW w:w="2392" w:type="dxa"/>
            <w:noWrap w:val="0"/>
            <w:vAlign w:val="center"/>
          </w:tcPr>
          <w:p w14:paraId="1E6B1BC3">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三乙胺回收装置可对反应副产三乙胺盐酸盐进行中和裂解，回收三乙胺循环使用，仅盐分进入废水处理系统</w:t>
            </w:r>
          </w:p>
        </w:tc>
        <w:tc>
          <w:tcPr>
            <w:tcW w:w="1845" w:type="dxa"/>
            <w:noWrap w:val="0"/>
            <w:vAlign w:val="center"/>
          </w:tcPr>
          <w:p w14:paraId="230CE891">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本项目取消三乙胺回收工序后，反应生成的三乙胺盐酸盐无法裂解回收，全部留存于精馏残液及釜渣中，新增三乙胺盐酸盐</w:t>
            </w:r>
            <w:r>
              <w:rPr>
                <w:rFonts w:hint="eastAsia" w:ascii="Times New Roman" w:hAnsi="Times New Roman" w:eastAsia="宋体" w:cs="Times New Roman"/>
                <w:kern w:val="0"/>
                <w:sz w:val="21"/>
                <w:szCs w:val="20"/>
                <w:lang w:val="en-US" w:eastAsia="zh-CN" w:bidi="ar-SA"/>
              </w:rPr>
              <w:t>作为副产品。本项目产生的三乙胺盐酸盐通过检测，符合山东化学化工学会中的副产三乙胺盐酸盐的团体标准。能够找到正规采购商，符合固废鉴定通则2026 副产要求。</w:t>
            </w:r>
          </w:p>
        </w:tc>
        <w:tc>
          <w:tcPr>
            <w:tcW w:w="1679" w:type="dxa"/>
            <w:noWrap w:val="0"/>
            <w:vAlign w:val="center"/>
          </w:tcPr>
          <w:p w14:paraId="0CAE6D58">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eastAsia" w:ascii="Times New Roman" w:hAnsi="Times New Roman" w:eastAsia="宋体" w:cs="Times New Roman"/>
                <w:sz w:val="21"/>
                <w:szCs w:val="20"/>
                <w:lang w:val="en-US" w:eastAsia="zh-CN" w:bidi="ar-SA"/>
              </w:rPr>
              <w:t>本项目产生的三乙胺盐酸盐已经通过监测，作为副产满足团体标准《山东化学化工学会团体标准副产三乙胺盐酸盐》，产生途径为生产碳酸亚乙烯酯过程中产生的三乙胺盐酸盐，使用用途为化工原料。本公司生产的中间产物三乙胺盐酸盐符合团标要求。故本项目的三乙胺盐酸盐外售给宁夏誉诚科技有限公司，能够对三乙胺盐酸盐进行高效、环保的加工利用。故不属于重大变动。</w:t>
            </w:r>
          </w:p>
        </w:tc>
      </w:tr>
      <w:tr w14:paraId="35001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trPr>
        <w:tc>
          <w:tcPr>
            <w:tcW w:w="348" w:type="dxa"/>
            <w:noWrap w:val="0"/>
            <w:vAlign w:val="center"/>
          </w:tcPr>
          <w:p w14:paraId="00D2D8D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bottom"/>
              <w:rPr>
                <w:rFonts w:hint="default"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4</w:t>
            </w:r>
          </w:p>
        </w:tc>
        <w:tc>
          <w:tcPr>
            <w:tcW w:w="2258" w:type="dxa"/>
            <w:noWrap w:val="0"/>
            <w:vAlign w:val="center"/>
          </w:tcPr>
          <w:p w14:paraId="41F1D11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left"/>
              <w:textAlignment w:val="bottom"/>
              <w:rPr>
                <w:rFonts w:hint="default" w:ascii="Times New Roman" w:hAnsi="Times New Roman" w:eastAsia="宋体" w:cs="Times New Roman"/>
                <w:color w:val="000000"/>
                <w:kern w:val="0"/>
                <w:sz w:val="21"/>
                <w:szCs w:val="18"/>
                <w:lang w:val="en-US" w:eastAsia="zh-CN" w:bidi="ar-SA"/>
              </w:rPr>
            </w:pPr>
            <w:r>
              <w:rPr>
                <w:rFonts w:hint="default" w:ascii="Times New Roman" w:hAnsi="Times New Roman" w:eastAsia="宋体" w:cs="Times New Roman"/>
                <w:color w:val="000000"/>
                <w:kern w:val="0"/>
                <w:sz w:val="21"/>
                <w:szCs w:val="18"/>
                <w:lang w:val="en-US" w:eastAsia="zh-CN" w:bidi="ar-SA"/>
              </w:rPr>
              <w:t>事故废水暂存能力或拦截设施变化，导致环境风险防范能力弱化或降低的。</w:t>
            </w:r>
          </w:p>
        </w:tc>
        <w:tc>
          <w:tcPr>
            <w:tcW w:w="2392" w:type="dxa"/>
            <w:noWrap w:val="0"/>
            <w:vAlign w:val="center"/>
          </w:tcPr>
          <w:p w14:paraId="3A5343A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bottom"/>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color w:val="000000"/>
                <w:kern w:val="0"/>
                <w:sz w:val="21"/>
                <w:szCs w:val="18"/>
                <w:lang w:val="en-US" w:eastAsia="zh-CN" w:bidi="ar-SA"/>
              </w:rPr>
              <w:t>厂区建设1座</w:t>
            </w:r>
            <w:r>
              <w:rPr>
                <w:rFonts w:hint="default" w:ascii="Times New Roman" w:hAnsi="Times New Roman" w:eastAsia="宋体" w:cs="Times New Roman"/>
                <w:kern w:val="0"/>
                <w:sz w:val="21"/>
                <w:szCs w:val="21"/>
                <w:lang w:val="en-US" w:eastAsia="zh-CN" w:bidi="ar-SA"/>
              </w:rPr>
              <w:t>事故池有效容积为1800m</w:t>
            </w:r>
            <w:r>
              <w:rPr>
                <w:rFonts w:hint="default" w:ascii="Times New Roman" w:hAnsi="Times New Roman" w:eastAsia="宋体" w:cs="Times New Roman"/>
                <w:kern w:val="0"/>
                <w:sz w:val="21"/>
                <w:szCs w:val="21"/>
                <w:vertAlign w:val="superscript"/>
                <w:lang w:val="en-US" w:eastAsia="zh-CN" w:bidi="ar-SA"/>
              </w:rPr>
              <w:t>3</w:t>
            </w:r>
            <w:r>
              <w:rPr>
                <w:rFonts w:hint="default" w:ascii="Times New Roman" w:hAnsi="Times New Roman" w:eastAsia="宋体" w:cs="Times New Roman"/>
                <w:kern w:val="0"/>
                <w:sz w:val="21"/>
                <w:szCs w:val="21"/>
                <w:lang w:val="en-US" w:eastAsia="zh-CN" w:bidi="ar-SA"/>
              </w:rPr>
              <w:t>。</w:t>
            </w:r>
          </w:p>
        </w:tc>
        <w:tc>
          <w:tcPr>
            <w:tcW w:w="1845" w:type="dxa"/>
            <w:noWrap w:val="0"/>
            <w:vAlign w:val="center"/>
          </w:tcPr>
          <w:p w14:paraId="56E37A4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bottom"/>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color w:val="000000"/>
                <w:kern w:val="0"/>
                <w:sz w:val="21"/>
                <w:szCs w:val="18"/>
                <w:lang w:val="en-US" w:eastAsia="zh-CN" w:bidi="ar-SA"/>
              </w:rPr>
              <w:t>厂区建设1座</w:t>
            </w:r>
            <w:r>
              <w:rPr>
                <w:rFonts w:hint="default" w:ascii="Times New Roman" w:hAnsi="Times New Roman" w:eastAsia="宋体" w:cs="Times New Roman"/>
                <w:kern w:val="0"/>
                <w:sz w:val="21"/>
                <w:szCs w:val="21"/>
                <w:lang w:val="en-US" w:eastAsia="zh-CN" w:bidi="ar-SA"/>
              </w:rPr>
              <w:t>事故池有效容积为1800m</w:t>
            </w:r>
            <w:r>
              <w:rPr>
                <w:rFonts w:hint="default" w:ascii="Times New Roman" w:hAnsi="Times New Roman" w:eastAsia="宋体" w:cs="Times New Roman"/>
                <w:kern w:val="0"/>
                <w:sz w:val="21"/>
                <w:szCs w:val="21"/>
                <w:vertAlign w:val="superscript"/>
                <w:lang w:val="en-US" w:eastAsia="zh-CN" w:bidi="ar-SA"/>
              </w:rPr>
              <w:t>3</w:t>
            </w:r>
            <w:r>
              <w:rPr>
                <w:rFonts w:hint="default" w:ascii="Times New Roman" w:hAnsi="Times New Roman" w:eastAsia="宋体" w:cs="Times New Roman"/>
                <w:kern w:val="0"/>
                <w:sz w:val="21"/>
                <w:szCs w:val="21"/>
                <w:lang w:val="en-US" w:eastAsia="zh-CN" w:bidi="ar-SA"/>
              </w:rPr>
              <w:t>。</w:t>
            </w:r>
          </w:p>
        </w:tc>
        <w:tc>
          <w:tcPr>
            <w:tcW w:w="1679" w:type="dxa"/>
            <w:noWrap w:val="0"/>
            <w:vAlign w:val="center"/>
          </w:tcPr>
          <w:p w14:paraId="12EB202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bottom"/>
              <w:rPr>
                <w:rFonts w:hint="default" w:ascii="Times New Roman" w:hAnsi="Times New Roman" w:eastAsia="宋体" w:cs="Times New Roman"/>
                <w:color w:val="000000"/>
                <w:kern w:val="0"/>
                <w:sz w:val="21"/>
                <w:szCs w:val="18"/>
                <w:lang w:val="en-US" w:eastAsia="zh-CN" w:bidi="ar-SA"/>
              </w:rPr>
            </w:pPr>
            <w:r>
              <w:rPr>
                <w:rFonts w:hint="default" w:ascii="Times New Roman" w:hAnsi="Times New Roman" w:eastAsia="宋体" w:cs="Times New Roman"/>
                <w:kern w:val="0"/>
                <w:sz w:val="21"/>
                <w:szCs w:val="18"/>
                <w:vertAlign w:val="baseline"/>
                <w:lang w:val="en-US" w:eastAsia="zh-CN" w:bidi="ar-SA"/>
              </w:rPr>
              <w:t>不属于重大变动</w:t>
            </w:r>
          </w:p>
        </w:tc>
      </w:tr>
    </w:tbl>
    <w:p w14:paraId="60AD174A">
      <w:pPr>
        <w:pStyle w:val="5"/>
        <w:bidi w:val="0"/>
        <w:rPr>
          <w:rFonts w:hint="eastAsia"/>
          <w:lang w:val="en-US" w:eastAsia="zh-CN"/>
        </w:rPr>
      </w:pPr>
      <w:r>
        <w:rPr>
          <w:rFonts w:hint="eastAsia"/>
          <w:lang w:val="en-US" w:eastAsia="zh-CN"/>
        </w:rPr>
        <w:t>3.2环境影响分析结论</w:t>
      </w:r>
    </w:p>
    <w:p w14:paraId="6631EFA9">
      <w:pPr>
        <w:pStyle w:val="21"/>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表3.2 环境影响分析结论对照表</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
        <w:gridCol w:w="572"/>
        <w:gridCol w:w="3368"/>
        <w:gridCol w:w="3352"/>
        <w:gridCol w:w="916"/>
      </w:tblGrid>
      <w:tr w14:paraId="409CC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EFD93A">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一</w:t>
            </w:r>
          </w:p>
        </w:tc>
        <w:tc>
          <w:tcPr>
            <w:tcW w:w="39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6520E98B">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环评中工程建设对环境的影响及要求</w:t>
            </w:r>
          </w:p>
        </w:tc>
        <w:tc>
          <w:tcPr>
            <w:tcW w:w="335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CE7EC6">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实际建设后工程建设对环境的影响及要求</w:t>
            </w:r>
          </w:p>
        </w:tc>
        <w:tc>
          <w:tcPr>
            <w:tcW w:w="9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29B512">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是否发生变化</w:t>
            </w:r>
          </w:p>
        </w:tc>
      </w:tr>
      <w:tr w14:paraId="5FC2D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314" w:type="dxa"/>
            <w:vMerge w:val="restart"/>
            <w:tcBorders>
              <w:top w:val="single" w:color="auto" w:sz="4" w:space="0"/>
              <w:left w:val="single" w:color="auto" w:sz="4" w:space="0"/>
              <w:right w:val="single" w:color="auto" w:sz="4" w:space="0"/>
              <w:tl2br w:val="nil"/>
              <w:tr2bl w:val="nil"/>
            </w:tcBorders>
            <w:noWrap w:val="0"/>
            <w:vAlign w:val="center"/>
          </w:tcPr>
          <w:p w14:paraId="51DBA14A">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c>
          <w:tcPr>
            <w:tcW w:w="572" w:type="dxa"/>
            <w:vMerge w:val="restart"/>
            <w:tcBorders>
              <w:top w:val="single" w:color="auto" w:sz="4" w:space="0"/>
              <w:left w:val="single" w:color="auto" w:sz="4" w:space="0"/>
              <w:right w:val="single" w:color="auto" w:sz="4" w:space="0"/>
              <w:tl2br w:val="nil"/>
              <w:tr2bl w:val="nil"/>
            </w:tcBorders>
            <w:noWrap w:val="0"/>
            <w:vAlign w:val="center"/>
          </w:tcPr>
          <w:p w14:paraId="34890821">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运行期大气</w:t>
            </w:r>
          </w:p>
        </w:tc>
        <w:tc>
          <w:tcPr>
            <w:tcW w:w="33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7B798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eastAsia" w:ascii="Times New Roman" w:hAnsi="Times New Roman" w:eastAsia="宋体" w:cs="Times New Roman"/>
                <w:b w:val="0"/>
                <w:bCs/>
                <w:kern w:val="2"/>
                <w:sz w:val="21"/>
                <w:szCs w:val="21"/>
                <w:lang w:val="en-US" w:eastAsia="zh-CN"/>
              </w:rPr>
              <w:t>根据一般变动分析：</w:t>
            </w:r>
            <w:r>
              <w:rPr>
                <w:rFonts w:hint="eastAsia" w:ascii="Times New Roman" w:hAnsi="Times New Roman" w:eastAsia="宋体" w:cs="Times New Roman"/>
                <w:b w:val="0"/>
                <w:bCs/>
                <w:kern w:val="2"/>
                <w:sz w:val="21"/>
                <w:szCs w:val="21"/>
              </w:rPr>
              <w:t>含卤</w:t>
            </w:r>
            <w:r>
              <w:rPr>
                <w:rFonts w:hint="eastAsia" w:ascii="Times New Roman" w:hAnsi="Times New Roman" w:eastAsia="宋体" w:cs="Times New Roman"/>
                <w:b w:val="0"/>
                <w:bCs/>
                <w:kern w:val="2"/>
                <w:sz w:val="21"/>
                <w:szCs w:val="21"/>
                <w:lang w:val="en-US" w:eastAsia="zh-CN"/>
              </w:rPr>
              <w:t>废气经</w:t>
            </w:r>
            <w:r>
              <w:rPr>
                <w:rFonts w:hint="eastAsia" w:ascii="Times New Roman" w:hAnsi="Times New Roman" w:eastAsia="宋体" w:cs="Times New Roman"/>
                <w:b w:val="0"/>
                <w:bCs/>
                <w:kern w:val="2"/>
                <w:sz w:val="21"/>
                <w:szCs w:val="21"/>
                <w:lang w:eastAsia="zh-CN"/>
              </w:rPr>
              <w:t>“</w:t>
            </w:r>
            <w:r>
              <w:rPr>
                <w:rFonts w:hint="eastAsia" w:ascii="Times New Roman" w:hAnsi="Times New Roman" w:eastAsia="宋体" w:cs="Times New Roman"/>
                <w:b w:val="0"/>
                <w:bCs/>
                <w:kern w:val="2"/>
                <w:sz w:val="21"/>
                <w:szCs w:val="21"/>
              </w:rPr>
              <w:t>深冷+碱喷淋+活性炭吸附</w:t>
            </w:r>
            <w:r>
              <w:rPr>
                <w:rFonts w:hint="eastAsia" w:ascii="Times New Roman" w:hAnsi="Times New Roman" w:eastAsia="宋体" w:cs="Times New Roman"/>
                <w:b w:val="0"/>
                <w:bCs/>
                <w:kern w:val="2"/>
                <w:sz w:val="21"/>
                <w:szCs w:val="21"/>
                <w:lang w:eastAsia="zh-CN"/>
              </w:rPr>
              <w:t>”</w:t>
            </w:r>
            <w:r>
              <w:rPr>
                <w:rFonts w:hint="eastAsia" w:ascii="Times New Roman" w:hAnsi="Times New Roman" w:eastAsia="宋体" w:cs="Times New Roman"/>
                <w:b w:val="0"/>
                <w:bCs/>
                <w:kern w:val="2"/>
                <w:sz w:val="21"/>
                <w:szCs w:val="21"/>
              </w:rPr>
              <w:t>处理后排气筒排放</w:t>
            </w:r>
            <w:r>
              <w:rPr>
                <w:rFonts w:hint="eastAsia" w:ascii="Times New Roman" w:hAnsi="Times New Roman" w:eastAsia="宋体" w:cs="Times New Roman"/>
                <w:b w:val="0"/>
                <w:bCs/>
                <w:kern w:val="2"/>
                <w:sz w:val="21"/>
                <w:szCs w:val="21"/>
                <w:lang w:eastAsia="zh-CN"/>
              </w:rPr>
              <w:t>。</w:t>
            </w:r>
          </w:p>
        </w:tc>
        <w:tc>
          <w:tcPr>
            <w:tcW w:w="335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185E3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eastAsia" w:ascii="Times New Roman" w:hAnsi="Times New Roman" w:eastAsia="宋体" w:cs="Times New Roman"/>
                <w:b w:val="0"/>
                <w:bCs/>
                <w:kern w:val="2"/>
                <w:sz w:val="21"/>
                <w:szCs w:val="21"/>
              </w:rPr>
              <w:t>含卤</w:t>
            </w:r>
            <w:r>
              <w:rPr>
                <w:rFonts w:hint="eastAsia" w:ascii="Times New Roman" w:hAnsi="Times New Roman" w:eastAsia="宋体" w:cs="Times New Roman"/>
                <w:b w:val="0"/>
                <w:bCs/>
                <w:kern w:val="2"/>
                <w:sz w:val="21"/>
                <w:szCs w:val="21"/>
                <w:lang w:val="en-US" w:eastAsia="zh-CN"/>
              </w:rPr>
              <w:t>废气经</w:t>
            </w:r>
            <w:r>
              <w:rPr>
                <w:rFonts w:hint="eastAsia" w:ascii="Times New Roman" w:hAnsi="Times New Roman" w:eastAsia="宋体" w:cs="Times New Roman"/>
                <w:b w:val="0"/>
                <w:bCs/>
                <w:kern w:val="2"/>
                <w:sz w:val="21"/>
                <w:szCs w:val="21"/>
                <w:lang w:eastAsia="zh-CN"/>
              </w:rPr>
              <w:t>“</w:t>
            </w:r>
            <w:r>
              <w:rPr>
                <w:rFonts w:hint="eastAsia" w:ascii="Times New Roman" w:hAnsi="Times New Roman" w:eastAsia="宋体" w:cs="Times New Roman"/>
                <w:b w:val="0"/>
                <w:bCs/>
                <w:kern w:val="2"/>
                <w:sz w:val="21"/>
                <w:szCs w:val="21"/>
              </w:rPr>
              <w:t>深冷+碱喷淋+活性炭吸附</w:t>
            </w:r>
            <w:r>
              <w:rPr>
                <w:rFonts w:hint="eastAsia" w:ascii="Times New Roman" w:hAnsi="Times New Roman" w:eastAsia="宋体" w:cs="Times New Roman"/>
                <w:b w:val="0"/>
                <w:bCs/>
                <w:kern w:val="2"/>
                <w:sz w:val="21"/>
                <w:szCs w:val="21"/>
                <w:lang w:eastAsia="zh-CN"/>
              </w:rPr>
              <w:t>”</w:t>
            </w:r>
            <w:r>
              <w:rPr>
                <w:rFonts w:hint="eastAsia" w:ascii="Times New Roman" w:hAnsi="Times New Roman" w:eastAsia="宋体" w:cs="Times New Roman"/>
                <w:b w:val="0"/>
                <w:bCs/>
                <w:kern w:val="2"/>
                <w:sz w:val="21"/>
                <w:szCs w:val="21"/>
              </w:rPr>
              <w:t>处理后经</w:t>
            </w:r>
            <w:r>
              <w:rPr>
                <w:rFonts w:hint="eastAsia" w:cs="Times New Roman"/>
                <w:b w:val="0"/>
                <w:bCs/>
                <w:kern w:val="2"/>
                <w:sz w:val="21"/>
                <w:szCs w:val="21"/>
                <w:lang w:val="en-US" w:eastAsia="zh-CN"/>
              </w:rPr>
              <w:t>排气筒</w:t>
            </w:r>
            <w:r>
              <w:rPr>
                <w:rFonts w:hint="eastAsia" w:ascii="Times New Roman" w:hAnsi="Times New Roman" w:eastAsia="宋体" w:cs="Times New Roman"/>
                <w:b w:val="0"/>
                <w:bCs/>
                <w:kern w:val="2"/>
                <w:sz w:val="21"/>
                <w:szCs w:val="21"/>
              </w:rPr>
              <w:t>排放</w:t>
            </w:r>
            <w:r>
              <w:rPr>
                <w:rFonts w:hint="eastAsia" w:ascii="Times New Roman" w:hAnsi="Times New Roman" w:eastAsia="宋体" w:cs="Times New Roman"/>
                <w:b w:val="0"/>
                <w:bCs/>
                <w:kern w:val="2"/>
                <w:sz w:val="21"/>
                <w:szCs w:val="21"/>
                <w:lang w:eastAsia="zh-CN"/>
              </w:rPr>
              <w:t>。</w:t>
            </w:r>
          </w:p>
        </w:tc>
        <w:tc>
          <w:tcPr>
            <w:tcW w:w="9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755B02">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与</w:t>
            </w:r>
            <w:r>
              <w:rPr>
                <w:rFonts w:hint="eastAsia" w:ascii="Times New Roman" w:hAnsi="Times New Roman" w:eastAsia="宋体" w:cs="Times New Roman"/>
                <w:b w:val="0"/>
                <w:bCs/>
                <w:kern w:val="2"/>
                <w:sz w:val="21"/>
                <w:szCs w:val="21"/>
                <w:lang w:val="en-US" w:eastAsia="zh-CN"/>
              </w:rPr>
              <w:t>一般变动分析</w:t>
            </w:r>
            <w:r>
              <w:rPr>
                <w:rFonts w:hint="eastAsia" w:ascii="Times New Roman" w:hAnsi="Times New Roman" w:cs="Times New Roman"/>
                <w:sz w:val="21"/>
                <w:szCs w:val="21"/>
                <w:lang w:val="en-US" w:eastAsia="zh-CN"/>
              </w:rPr>
              <w:t>一致</w:t>
            </w:r>
          </w:p>
        </w:tc>
      </w:tr>
      <w:tr w14:paraId="3B303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4" w:type="dxa"/>
            <w:vMerge w:val="continue"/>
            <w:tcBorders>
              <w:left w:val="single" w:color="auto" w:sz="4" w:space="0"/>
              <w:right w:val="single" w:color="auto" w:sz="4" w:space="0"/>
              <w:tl2br w:val="nil"/>
              <w:tr2bl w:val="nil"/>
            </w:tcBorders>
            <w:noWrap w:val="0"/>
            <w:vAlign w:val="center"/>
          </w:tcPr>
          <w:p w14:paraId="013F4BB2">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p>
        </w:tc>
        <w:tc>
          <w:tcPr>
            <w:tcW w:w="572" w:type="dxa"/>
            <w:vMerge w:val="continue"/>
            <w:tcBorders>
              <w:left w:val="single" w:color="auto" w:sz="4" w:space="0"/>
              <w:right w:val="single" w:color="auto" w:sz="4" w:space="0"/>
              <w:tl2br w:val="nil"/>
              <w:tr2bl w:val="nil"/>
            </w:tcBorders>
            <w:noWrap w:val="0"/>
            <w:vAlign w:val="center"/>
          </w:tcPr>
          <w:p w14:paraId="0373FAF9">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p>
        </w:tc>
        <w:tc>
          <w:tcPr>
            <w:tcW w:w="33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1E2DC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eastAsia" w:ascii="Times New Roman" w:hAnsi="Times New Roman" w:eastAsia="宋体" w:cs="Times New Roman"/>
                <w:b w:val="0"/>
                <w:bCs/>
                <w:kern w:val="2"/>
                <w:sz w:val="21"/>
                <w:szCs w:val="21"/>
              </w:rPr>
              <w:t>无卤废气</w:t>
            </w:r>
            <w:r>
              <w:rPr>
                <w:rFonts w:hint="eastAsia" w:ascii="Times New Roman" w:hAnsi="Times New Roman" w:eastAsia="宋体" w:cs="Times New Roman"/>
                <w:spacing w:val="0"/>
                <w:kern w:val="0"/>
                <w:sz w:val="21"/>
              </w:rPr>
              <w:t>经RTO燃烧装置处理后经25米高排气筒排放</w:t>
            </w:r>
          </w:p>
        </w:tc>
        <w:tc>
          <w:tcPr>
            <w:tcW w:w="3352" w:type="dxa"/>
            <w:tcBorders>
              <w:top w:val="single" w:color="auto" w:sz="4" w:space="0"/>
              <w:left w:val="single" w:color="auto" w:sz="4" w:space="0"/>
              <w:right w:val="single" w:color="auto" w:sz="4" w:space="0"/>
              <w:tl2br w:val="nil"/>
              <w:tr2bl w:val="nil"/>
            </w:tcBorders>
            <w:noWrap w:val="0"/>
            <w:vAlign w:val="center"/>
          </w:tcPr>
          <w:p w14:paraId="2AADD86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eastAsia" w:ascii="Times New Roman" w:hAnsi="Times New Roman" w:eastAsia="宋体" w:cs="Times New Roman"/>
                <w:b w:val="0"/>
                <w:bCs/>
                <w:kern w:val="2"/>
                <w:sz w:val="21"/>
                <w:szCs w:val="21"/>
              </w:rPr>
              <w:t>无卤废气</w:t>
            </w:r>
            <w:r>
              <w:rPr>
                <w:rFonts w:hint="eastAsia" w:ascii="Times New Roman" w:hAnsi="Times New Roman" w:eastAsia="宋体" w:cs="Times New Roman"/>
                <w:spacing w:val="0"/>
                <w:kern w:val="0"/>
                <w:sz w:val="21"/>
              </w:rPr>
              <w:t>经RTO燃烧装置处理后经25米高排气筒排放</w:t>
            </w:r>
          </w:p>
        </w:tc>
        <w:tc>
          <w:tcPr>
            <w:tcW w:w="916" w:type="dxa"/>
            <w:tcBorders>
              <w:top w:val="single" w:color="auto" w:sz="4" w:space="0"/>
              <w:left w:val="single" w:color="auto" w:sz="4" w:space="0"/>
              <w:right w:val="single" w:color="auto" w:sz="4" w:space="0"/>
              <w:tl2br w:val="nil"/>
              <w:tr2bl w:val="nil"/>
            </w:tcBorders>
            <w:noWrap w:val="0"/>
            <w:vAlign w:val="center"/>
          </w:tcPr>
          <w:p w14:paraId="36221D8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与环评一致</w:t>
            </w:r>
          </w:p>
        </w:tc>
      </w:tr>
      <w:tr w14:paraId="0FF12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4" w:type="dxa"/>
            <w:vMerge w:val="continue"/>
            <w:tcBorders>
              <w:left w:val="single" w:color="auto" w:sz="4" w:space="0"/>
              <w:right w:val="single" w:color="auto" w:sz="4" w:space="0"/>
              <w:tl2br w:val="nil"/>
              <w:tr2bl w:val="nil"/>
            </w:tcBorders>
            <w:noWrap w:val="0"/>
            <w:vAlign w:val="center"/>
          </w:tcPr>
          <w:p w14:paraId="5EB1D738">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p>
        </w:tc>
        <w:tc>
          <w:tcPr>
            <w:tcW w:w="572" w:type="dxa"/>
            <w:vMerge w:val="continue"/>
            <w:tcBorders>
              <w:left w:val="single" w:color="auto" w:sz="4" w:space="0"/>
              <w:right w:val="single" w:color="auto" w:sz="4" w:space="0"/>
              <w:tl2br w:val="nil"/>
              <w:tr2bl w:val="nil"/>
            </w:tcBorders>
            <w:noWrap w:val="0"/>
            <w:vAlign w:val="center"/>
          </w:tcPr>
          <w:p w14:paraId="48045DDE">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p>
        </w:tc>
        <w:tc>
          <w:tcPr>
            <w:tcW w:w="33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2CC255">
            <w:pPr>
              <w:pStyle w:val="30"/>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120" w:leftChars="-50" w:right="-120" w:rightChars="-50" w:firstLine="0" w:firstLineChars="0"/>
              <w:jc w:val="center"/>
              <w:textAlignment w:val="auto"/>
              <w:rPr>
                <w:rFonts w:hint="default" w:ascii="Times New Roman" w:hAnsi="Times New Roman" w:cs="Times New Roman"/>
                <w:sz w:val="21"/>
                <w:szCs w:val="21"/>
              </w:rPr>
            </w:pPr>
            <w:r>
              <w:rPr>
                <w:rFonts w:hint="default" w:ascii="Times New Roman" w:hAnsi="Times New Roman" w:eastAsia="宋体" w:cs="Times New Roman"/>
                <w:sz w:val="21"/>
                <w:szCs w:val="21"/>
                <w:lang w:val="en-US" w:eastAsia="zh-CN" w:bidi="ar-SA"/>
              </w:rPr>
              <w:t>罐区废气及危废库废气经过二级活性炭吸附+25m排气筒排放；</w:t>
            </w:r>
          </w:p>
        </w:tc>
        <w:tc>
          <w:tcPr>
            <w:tcW w:w="3352" w:type="dxa"/>
            <w:tcBorders>
              <w:left w:val="single" w:color="auto" w:sz="4" w:space="0"/>
              <w:bottom w:val="single" w:color="auto" w:sz="4" w:space="0"/>
              <w:right w:val="single" w:color="auto" w:sz="4" w:space="0"/>
              <w:tl2br w:val="nil"/>
              <w:tr2bl w:val="nil"/>
            </w:tcBorders>
            <w:noWrap w:val="0"/>
            <w:vAlign w:val="center"/>
          </w:tcPr>
          <w:p w14:paraId="3840E1FB">
            <w:pPr>
              <w:pStyle w:val="30"/>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120" w:leftChars="-50" w:right="-120" w:rightChars="-50" w:firstLine="0" w:firstLineChars="0"/>
              <w:jc w:val="center"/>
              <w:textAlignment w:val="auto"/>
              <w:rPr>
                <w:rFonts w:hint="default" w:ascii="Times New Roman" w:hAnsi="Times New Roman" w:cs="Times New Roman"/>
                <w:sz w:val="21"/>
                <w:szCs w:val="21"/>
              </w:rPr>
            </w:pPr>
            <w:r>
              <w:rPr>
                <w:rFonts w:hint="default" w:ascii="Times New Roman" w:hAnsi="Times New Roman" w:eastAsia="宋体" w:cs="Times New Roman"/>
                <w:sz w:val="21"/>
                <w:szCs w:val="21"/>
                <w:lang w:val="en-US" w:eastAsia="zh-CN" w:bidi="ar-SA"/>
              </w:rPr>
              <w:t>罐区废气及危废库废气经过二级活性炭吸附+25m排气筒排放；</w:t>
            </w:r>
          </w:p>
        </w:tc>
        <w:tc>
          <w:tcPr>
            <w:tcW w:w="916" w:type="dxa"/>
            <w:tcBorders>
              <w:left w:val="single" w:color="auto" w:sz="4" w:space="0"/>
              <w:bottom w:val="single" w:color="auto" w:sz="4" w:space="0"/>
              <w:right w:val="single" w:color="auto" w:sz="4" w:space="0"/>
              <w:tl2br w:val="nil"/>
              <w:tr2bl w:val="nil"/>
            </w:tcBorders>
            <w:noWrap w:val="0"/>
            <w:vAlign w:val="center"/>
          </w:tcPr>
          <w:p w14:paraId="6A92DB57">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与环评一致</w:t>
            </w:r>
          </w:p>
        </w:tc>
      </w:tr>
      <w:tr w14:paraId="4B09B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4" w:type="dxa"/>
            <w:vMerge w:val="continue"/>
            <w:tcBorders>
              <w:left w:val="single" w:color="auto" w:sz="4" w:space="0"/>
              <w:bottom w:val="single" w:color="auto" w:sz="4" w:space="0"/>
              <w:right w:val="single" w:color="auto" w:sz="4" w:space="0"/>
              <w:tl2br w:val="nil"/>
              <w:tr2bl w:val="nil"/>
            </w:tcBorders>
            <w:noWrap w:val="0"/>
            <w:vAlign w:val="center"/>
          </w:tcPr>
          <w:p w14:paraId="4A9CF578">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p>
        </w:tc>
        <w:tc>
          <w:tcPr>
            <w:tcW w:w="572" w:type="dxa"/>
            <w:vMerge w:val="continue"/>
            <w:tcBorders>
              <w:left w:val="single" w:color="auto" w:sz="4" w:space="0"/>
              <w:bottom w:val="single" w:color="auto" w:sz="4" w:space="0"/>
              <w:right w:val="single" w:color="auto" w:sz="4" w:space="0"/>
              <w:tl2br w:val="nil"/>
              <w:tr2bl w:val="nil"/>
            </w:tcBorders>
            <w:noWrap w:val="0"/>
            <w:vAlign w:val="center"/>
          </w:tcPr>
          <w:p w14:paraId="4AB024EC">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p>
        </w:tc>
        <w:tc>
          <w:tcPr>
            <w:tcW w:w="33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25E0A1">
            <w:pPr>
              <w:pStyle w:val="30"/>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120" w:leftChars="-50" w:right="-120" w:rightChars="-50" w:firstLine="0" w:firstLineChars="0"/>
              <w:jc w:val="center"/>
              <w:textAlignment w:val="auto"/>
              <w:rPr>
                <w:rFonts w:hint="default" w:ascii="Times New Roman" w:hAnsi="Times New Roman" w:cs="Times New Roman"/>
                <w:sz w:val="21"/>
                <w:szCs w:val="21"/>
              </w:rPr>
            </w:pPr>
            <w:r>
              <w:rPr>
                <w:rFonts w:hint="default" w:ascii="Times New Roman" w:hAnsi="Times New Roman" w:eastAsia="宋体" w:cs="Times New Roman"/>
                <w:sz w:val="21"/>
                <w:szCs w:val="21"/>
                <w:lang w:val="en-US" w:eastAsia="zh-CN" w:bidi="ar-SA"/>
              </w:rPr>
              <w:t>污水处理站废气经过碱洗喷淋塔+生物滤池+25m排气筒排放。</w:t>
            </w:r>
          </w:p>
        </w:tc>
        <w:tc>
          <w:tcPr>
            <w:tcW w:w="335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5527D6">
            <w:pPr>
              <w:pStyle w:val="30"/>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120" w:leftChars="-50" w:right="-120" w:rightChars="-50" w:firstLine="0" w:firstLineChars="0"/>
              <w:jc w:val="center"/>
              <w:textAlignment w:val="auto"/>
              <w:rPr>
                <w:rFonts w:hint="default" w:ascii="Times New Roman" w:hAnsi="Times New Roman" w:cs="Times New Roman"/>
                <w:sz w:val="21"/>
                <w:szCs w:val="21"/>
              </w:rPr>
            </w:pPr>
            <w:r>
              <w:rPr>
                <w:rFonts w:hint="default" w:ascii="Times New Roman" w:hAnsi="Times New Roman" w:eastAsia="宋体" w:cs="Times New Roman"/>
                <w:sz w:val="21"/>
                <w:szCs w:val="21"/>
                <w:lang w:val="en-US" w:eastAsia="zh-CN" w:bidi="ar-SA"/>
              </w:rPr>
              <w:t>污水处理站废气经过碱洗喷淋塔+生物滤池+25m排气筒排放。</w:t>
            </w:r>
          </w:p>
        </w:tc>
        <w:tc>
          <w:tcPr>
            <w:tcW w:w="9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16FA0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与环评一致</w:t>
            </w:r>
          </w:p>
        </w:tc>
      </w:tr>
      <w:tr w14:paraId="3C887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3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B730E9">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c>
          <w:tcPr>
            <w:tcW w:w="57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E4DA56">
            <w:pPr>
              <w:pStyle w:val="30"/>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120" w:leftChars="-50" w:right="-120" w:rightChars="-50" w:firstLine="0" w:firstLineChars="0"/>
              <w:jc w:val="center"/>
              <w:textAlignment w:val="auto"/>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运行期地表水</w:t>
            </w:r>
          </w:p>
        </w:tc>
        <w:tc>
          <w:tcPr>
            <w:tcW w:w="33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1E5F4B">
            <w:pPr>
              <w:pStyle w:val="30"/>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120" w:leftChars="-50" w:right="-120" w:rightChars="-50" w:firstLine="0" w:firstLineChars="0"/>
              <w:jc w:val="center"/>
              <w:textAlignment w:val="auto"/>
              <w:rPr>
                <w:rFonts w:hint="eastAsia" w:ascii="Times New Roman" w:hAnsi="Times New Roman" w:eastAsia="宋体" w:cs="Times New Roman"/>
                <w:kern w:val="2"/>
                <w:sz w:val="21"/>
                <w:szCs w:val="21"/>
                <w:lang w:eastAsia="zh-CN"/>
              </w:rPr>
            </w:pPr>
            <w:r>
              <w:rPr>
                <w:rFonts w:hint="default" w:ascii="Times New Roman" w:hAnsi="Times New Roman" w:eastAsia="宋体" w:cs="Times New Roman"/>
                <w:b w:val="0"/>
                <w:bCs/>
                <w:kern w:val="2"/>
                <w:sz w:val="21"/>
                <w:szCs w:val="21"/>
              </w:rPr>
              <w:t>高盐废水处理：建设一套</w:t>
            </w:r>
            <w:r>
              <w:rPr>
                <w:rFonts w:hint="default" w:ascii="Times New Roman" w:hAnsi="Times New Roman" w:eastAsia="宋体" w:cs="Times New Roman"/>
                <w:b w:val="0"/>
                <w:bCs/>
                <w:kern w:val="2"/>
                <w:sz w:val="21"/>
                <w:szCs w:val="21"/>
                <w:lang w:val="en-US" w:eastAsia="zh-CN"/>
              </w:rPr>
              <w:t>100</w:t>
            </w:r>
            <w:r>
              <w:rPr>
                <w:rFonts w:hint="default" w:ascii="Times New Roman" w:hAnsi="Times New Roman" w:eastAsia="宋体" w:cs="Times New Roman"/>
                <w:b w:val="0"/>
                <w:bCs/>
                <w:kern w:val="2"/>
                <w:sz w:val="21"/>
                <w:szCs w:val="21"/>
              </w:rPr>
              <w:t>t/d的高盐废水处理装置</w:t>
            </w:r>
            <w:r>
              <w:rPr>
                <w:rFonts w:hint="eastAsia" w:ascii="Times New Roman" w:hAnsi="Times New Roman" w:eastAsia="宋体" w:cs="Times New Roman"/>
                <w:b w:val="0"/>
                <w:bCs/>
                <w:kern w:val="2"/>
                <w:sz w:val="21"/>
                <w:szCs w:val="21"/>
                <w:lang w:eastAsia="zh-CN"/>
              </w:rPr>
              <w:t>；</w:t>
            </w:r>
            <w:r>
              <w:rPr>
                <w:rFonts w:hint="default" w:ascii="Times New Roman" w:hAnsi="Times New Roman" w:eastAsia="宋体" w:cs="Times New Roman"/>
                <w:b w:val="0"/>
                <w:bCs/>
                <w:kern w:val="2"/>
                <w:sz w:val="21"/>
                <w:szCs w:val="21"/>
              </w:rPr>
              <w:t>综合废水处理：建设一套综合废水处理设施，设计处理能力为</w:t>
            </w:r>
            <w:r>
              <w:rPr>
                <w:rFonts w:hint="default" w:ascii="Times New Roman" w:hAnsi="Times New Roman" w:eastAsia="宋体" w:cs="Times New Roman"/>
                <w:b w:val="0"/>
                <w:bCs/>
                <w:kern w:val="2"/>
                <w:sz w:val="21"/>
                <w:szCs w:val="21"/>
                <w:lang w:val="en-US" w:eastAsia="zh-CN"/>
              </w:rPr>
              <w:t>700</w:t>
            </w:r>
            <w:r>
              <w:rPr>
                <w:rFonts w:hint="default" w:ascii="Times New Roman" w:hAnsi="Times New Roman" w:eastAsia="宋体" w:cs="Times New Roman"/>
                <w:b w:val="0"/>
                <w:bCs/>
                <w:kern w:val="2"/>
                <w:sz w:val="21"/>
                <w:szCs w:val="21"/>
              </w:rPr>
              <w:t>t/d。处理工艺为：高浓水经“隔油气浮+多相催化氧化”预处理后，和其它废水进入综合调节池，采用“水解酸化+IC厌氧池+二级A/O+二沉池”处理。处理后通过厂区排口集中排入高新区污水处理厂。采用明管排放，一企一管进行管理，并安装在线监测设备。</w:t>
            </w:r>
          </w:p>
        </w:tc>
        <w:tc>
          <w:tcPr>
            <w:tcW w:w="335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3881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本项目无高浓废水和高盐废水</w:t>
            </w:r>
            <w:r>
              <w:rPr>
                <w:rFonts w:hint="eastAsia" w:cs="Times New Roman"/>
                <w:kern w:val="2"/>
                <w:sz w:val="21"/>
                <w:szCs w:val="21"/>
                <w:lang w:val="en-US" w:eastAsia="zh-CN"/>
              </w:rPr>
              <w:t>，</w:t>
            </w:r>
            <w:r>
              <w:rPr>
                <w:rFonts w:hint="default" w:ascii="Times New Roman" w:hAnsi="Times New Roman" w:eastAsia="宋体" w:cs="Times New Roman"/>
                <w:kern w:val="2"/>
                <w:sz w:val="21"/>
                <w:szCs w:val="21"/>
                <w:lang w:val="en-US" w:eastAsia="zh-CN"/>
              </w:rPr>
              <w:t>厂区生活污水依托现有厂区污水处理站；厂区污水处理站处理工艺：</w:t>
            </w:r>
          </w:p>
          <w:p w14:paraId="27948E16">
            <w:pPr>
              <w:pStyle w:val="30"/>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120" w:leftChars="-50" w:right="-120" w:rightChars="-50" w:firstLine="0" w:firstLineChars="0"/>
              <w:jc w:val="center"/>
              <w:textAlignment w:val="auto"/>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rPr>
              <w:t>高浓废水经过高浓废水处理装置（高浓度废水收集池+气浮池+过滤器+高级氧化装置）预处理；高盐废水经过高盐废水处理装置（高盐废水收集池+多效蒸发）预处理；与其它低浓废水一起进入综合调节池进行后续处置（初沉池+水解酸化池+配水池+IC厌氧池+二级A/O+二沉池），处理后达到安庆亚同城西污水处理厂接管标准通过厂区排口集中排入安庆亚同城西污水处理厂。</w:t>
            </w:r>
          </w:p>
        </w:tc>
        <w:tc>
          <w:tcPr>
            <w:tcW w:w="9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489EC4">
            <w:pPr>
              <w:pStyle w:val="30"/>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120" w:leftChars="-50" w:right="-120" w:rightChars="-50" w:firstLine="0" w:firstLineChars="0"/>
              <w:jc w:val="center"/>
              <w:textAlignment w:val="auto"/>
              <w:rPr>
                <w:rFonts w:hint="default" w:ascii="Times New Roman" w:hAnsi="Times New Roman" w:eastAsia="宋体" w:cs="Times New Roman"/>
                <w:kern w:val="2"/>
                <w:sz w:val="21"/>
                <w:szCs w:val="21"/>
              </w:rPr>
            </w:pPr>
            <w:r>
              <w:rPr>
                <w:rFonts w:hint="eastAsia" w:ascii="Times New Roman" w:hAnsi="Times New Roman" w:eastAsia="宋体" w:cs="Times New Roman"/>
                <w:kern w:val="2"/>
                <w:sz w:val="21"/>
                <w:szCs w:val="21"/>
                <w:lang w:val="en-US" w:eastAsia="zh-CN"/>
              </w:rPr>
              <w:t>与环评一致</w:t>
            </w:r>
          </w:p>
        </w:tc>
      </w:tr>
      <w:tr w14:paraId="3C502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3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176810">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3</w:t>
            </w:r>
          </w:p>
        </w:tc>
        <w:tc>
          <w:tcPr>
            <w:tcW w:w="57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42C122">
            <w:pPr>
              <w:pStyle w:val="30"/>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120" w:leftChars="-50" w:right="-120" w:rightChars="-50" w:firstLine="0" w:firstLineChars="0"/>
              <w:jc w:val="center"/>
              <w:textAlignment w:val="auto"/>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运行期噪声</w:t>
            </w:r>
          </w:p>
        </w:tc>
        <w:tc>
          <w:tcPr>
            <w:tcW w:w="33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3A58C2">
            <w:pPr>
              <w:pStyle w:val="30"/>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120" w:leftChars="-50" w:right="-120" w:rightChars="-50" w:firstLine="0" w:firstLineChars="0"/>
              <w:jc w:val="center"/>
              <w:textAlignment w:val="auto"/>
              <w:rPr>
                <w:rFonts w:hint="default" w:ascii="Times New Roman" w:hAnsi="Times New Roman" w:eastAsia="宋体" w:cs="Times New Roman"/>
                <w:kern w:val="2"/>
                <w:sz w:val="21"/>
                <w:szCs w:val="21"/>
              </w:rPr>
            </w:pPr>
            <w:r>
              <w:rPr>
                <w:rFonts w:hint="default" w:ascii="Times New Roman" w:hAnsi="Times New Roman" w:eastAsia="宋体" w:cs="Times New Roman"/>
                <w:b w:val="0"/>
                <w:bCs/>
                <w:kern w:val="2"/>
                <w:sz w:val="21"/>
                <w:szCs w:val="21"/>
              </w:rPr>
              <w:t>在各类风机进、出口以及空压机吸风口加装消音器以控制噪声，各类水泵设置隔声罩、减震垫，且设备采用封闭式厂房隔音，并在建筑物内壁贴附孔板消音材料，同时在车间外和厂区空地采取绿化植物屏蔽、吸纳等措施来减轻设备噪声对外部环境的影响。</w:t>
            </w:r>
          </w:p>
        </w:tc>
        <w:tc>
          <w:tcPr>
            <w:tcW w:w="335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680042">
            <w:pPr>
              <w:pStyle w:val="30"/>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120" w:leftChars="-50" w:right="-120" w:rightChars="-50" w:firstLine="0" w:firstLineChars="0"/>
              <w:jc w:val="center"/>
              <w:textAlignment w:val="auto"/>
              <w:rPr>
                <w:rFonts w:hint="default" w:ascii="Times New Roman" w:hAnsi="Times New Roman" w:eastAsia="宋体" w:cs="Times New Roman"/>
                <w:kern w:val="2"/>
                <w:sz w:val="21"/>
                <w:szCs w:val="21"/>
              </w:rPr>
            </w:pPr>
            <w:r>
              <w:rPr>
                <w:rFonts w:hint="default" w:ascii="Times New Roman" w:hAnsi="Times New Roman" w:eastAsia="宋体" w:cs="Times New Roman"/>
                <w:b w:val="0"/>
                <w:bCs/>
                <w:kern w:val="2"/>
                <w:sz w:val="21"/>
                <w:szCs w:val="21"/>
              </w:rPr>
              <w:t>在各类风机进、出口以及空压机吸风口加装消音器以控制噪声，各类水泵设置隔声罩、减震垫，且设备采用封闭式厂房隔音，并在建筑物内壁贴附孔板消音材料，同时在车间外和厂区空地采取绿化植物屏蔽、吸纳等措施来减轻设备噪声对外部环境的影响。</w:t>
            </w:r>
          </w:p>
        </w:tc>
        <w:tc>
          <w:tcPr>
            <w:tcW w:w="9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CB2BD9">
            <w:pPr>
              <w:pStyle w:val="30"/>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120" w:leftChars="-50" w:right="-120" w:rightChars="-50" w:firstLine="0" w:firstLineChars="0"/>
              <w:jc w:val="center"/>
              <w:textAlignment w:val="auto"/>
              <w:rPr>
                <w:rFonts w:hint="default" w:ascii="Times New Roman" w:hAnsi="Times New Roman" w:eastAsia="宋体" w:cs="Times New Roman"/>
                <w:kern w:val="2"/>
                <w:sz w:val="21"/>
                <w:szCs w:val="21"/>
              </w:rPr>
            </w:pPr>
            <w:r>
              <w:rPr>
                <w:rFonts w:hint="eastAsia" w:ascii="Times New Roman" w:hAnsi="Times New Roman" w:cs="Times New Roman"/>
                <w:sz w:val="21"/>
                <w:szCs w:val="21"/>
                <w:lang w:val="en-US" w:eastAsia="zh-CN"/>
              </w:rPr>
              <w:t>与环评一致</w:t>
            </w:r>
          </w:p>
        </w:tc>
      </w:tr>
      <w:tr w14:paraId="2D699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DBB801">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4</w:t>
            </w:r>
          </w:p>
        </w:tc>
        <w:tc>
          <w:tcPr>
            <w:tcW w:w="57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24A3F2">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运行期固废</w:t>
            </w:r>
          </w:p>
        </w:tc>
        <w:tc>
          <w:tcPr>
            <w:tcW w:w="33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E46813">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val="0"/>
                <w:bCs/>
                <w:kern w:val="2"/>
                <w:sz w:val="21"/>
                <w:szCs w:val="21"/>
              </w:rPr>
              <w:t>本项目一般固废主要为生活垃圾，采用垃圾收集桶收集后，由环卫部门定期清运。</w:t>
            </w:r>
            <w:r>
              <w:rPr>
                <w:rFonts w:hint="eastAsia" w:ascii="Times New Roman" w:hAnsi="Times New Roman" w:eastAsia="宋体" w:cs="Times New Roman"/>
                <w:b w:val="0"/>
                <w:bCs/>
                <w:kern w:val="2"/>
                <w:sz w:val="21"/>
                <w:szCs w:val="21"/>
                <w:lang w:val="en-US" w:eastAsia="zh-CN"/>
              </w:rPr>
              <w:t>危险废物交由安徽省创美环保科技有限公司处理</w:t>
            </w:r>
          </w:p>
        </w:tc>
        <w:tc>
          <w:tcPr>
            <w:tcW w:w="335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E0F344">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kern w:val="2"/>
                <w:sz w:val="21"/>
                <w:szCs w:val="21"/>
              </w:rPr>
              <w:t>本项目一般固废主要为生活垃圾，采用垃圾收集桶收集后，由环卫部门定期清运。</w:t>
            </w:r>
            <w:r>
              <w:rPr>
                <w:rFonts w:hint="eastAsia" w:ascii="Times New Roman" w:hAnsi="Times New Roman" w:eastAsia="宋体" w:cs="Times New Roman"/>
                <w:b w:val="0"/>
                <w:bCs/>
                <w:kern w:val="2"/>
                <w:sz w:val="21"/>
                <w:szCs w:val="21"/>
                <w:lang w:val="en-US" w:eastAsia="zh-CN"/>
              </w:rPr>
              <w:t>危险废物交由安徽省创美环保科技有限公司处理</w:t>
            </w:r>
          </w:p>
        </w:tc>
        <w:tc>
          <w:tcPr>
            <w:tcW w:w="9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9BDC1A">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与环评一致</w:t>
            </w:r>
          </w:p>
        </w:tc>
      </w:tr>
      <w:tr w14:paraId="3F790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A32B74">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5</w:t>
            </w:r>
          </w:p>
        </w:tc>
        <w:tc>
          <w:tcPr>
            <w:tcW w:w="57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D2593B">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排污许可</w:t>
            </w:r>
          </w:p>
        </w:tc>
        <w:tc>
          <w:tcPr>
            <w:tcW w:w="33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0764E2">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项目建设必须严格执行环境保护“三同时”制度。项目建成后应按规定完成排污许可证申办和环境保护竣工验收工作。</w:t>
            </w:r>
          </w:p>
        </w:tc>
        <w:tc>
          <w:tcPr>
            <w:tcW w:w="335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A1F4BC">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eastAsia" w:ascii="Times New Roman" w:hAnsi="Times New Roman" w:eastAsia="宋体" w:cs="Times New Roman"/>
                <w:sz w:val="21"/>
                <w:szCs w:val="21"/>
                <w:lang w:val="en-US" w:eastAsia="zh-CN"/>
              </w:rPr>
              <w:t>项目已经执行环境保护“三同时”制度，</w:t>
            </w:r>
            <w:r>
              <w:rPr>
                <w:rFonts w:hint="default" w:ascii="Times New Roman" w:hAnsi="Times New Roman" w:eastAsia="宋体" w:cs="Times New Roman"/>
                <w:sz w:val="21"/>
                <w:szCs w:val="21"/>
                <w:lang w:val="en-US" w:eastAsia="zh-CN"/>
              </w:rPr>
              <w:t>企业已于202</w:t>
            </w: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年</w:t>
            </w:r>
            <w:r>
              <w:rPr>
                <w:rFonts w:hint="eastAsia" w:ascii="Times New Roman" w:hAnsi="Times New Roman" w:eastAsia="宋体" w:cs="Times New Roman"/>
                <w:sz w:val="21"/>
                <w:szCs w:val="21"/>
                <w:lang w:val="en-US" w:eastAsia="zh-CN"/>
              </w:rPr>
              <w:t>10</w:t>
            </w:r>
            <w:r>
              <w:rPr>
                <w:rFonts w:hint="default" w:ascii="Times New Roman" w:hAnsi="Times New Roman" w:eastAsia="宋体" w:cs="Times New Roman"/>
                <w:sz w:val="21"/>
                <w:szCs w:val="21"/>
                <w:lang w:val="en-US" w:eastAsia="zh-CN"/>
              </w:rPr>
              <w:t>月</w:t>
            </w:r>
            <w:r>
              <w:rPr>
                <w:rFonts w:hint="eastAsia" w:ascii="Times New Roman" w:hAnsi="Times New Roman" w:eastAsia="宋体" w:cs="Times New Roman"/>
                <w:sz w:val="21"/>
                <w:szCs w:val="21"/>
                <w:lang w:val="en-US" w:eastAsia="zh-CN"/>
              </w:rPr>
              <w:t>21申领了该项目的排污许可证</w:t>
            </w:r>
            <w:r>
              <w:rPr>
                <w:rFonts w:hint="default" w:ascii="Times New Roman" w:hAnsi="Times New Roman" w:eastAsia="宋体" w:cs="Times New Roman"/>
                <w:sz w:val="21"/>
                <w:szCs w:val="21"/>
                <w:lang w:val="en-US" w:eastAsia="zh-CN"/>
              </w:rPr>
              <w:t>（证书编号：91340805MA2U38E48C001Q）</w:t>
            </w:r>
            <w:r>
              <w:rPr>
                <w:rFonts w:hint="eastAsia" w:ascii="Times New Roman" w:hAnsi="Times New Roman" w:eastAsia="宋体" w:cs="Times New Roman"/>
                <w:sz w:val="21"/>
                <w:szCs w:val="21"/>
                <w:lang w:val="en-US" w:eastAsia="zh-CN"/>
              </w:rPr>
              <w:t>。</w:t>
            </w:r>
          </w:p>
        </w:tc>
        <w:tc>
          <w:tcPr>
            <w:tcW w:w="9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BE4437">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与环评一致</w:t>
            </w:r>
          </w:p>
        </w:tc>
      </w:tr>
      <w:tr w14:paraId="7C399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E7D242">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6</w:t>
            </w:r>
          </w:p>
        </w:tc>
        <w:tc>
          <w:tcPr>
            <w:tcW w:w="57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D07B84">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zh-CN"/>
              </w:rPr>
              <w:t>环境风险</w:t>
            </w:r>
          </w:p>
        </w:tc>
        <w:tc>
          <w:tcPr>
            <w:tcW w:w="33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D9DC6A">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zh-CN" w:eastAsia="zh-CN"/>
              </w:rPr>
              <w:t>严格执行《排污单位自行监测技术指南 总则》(HJ819-2017)和《报告表》提出的环境管理和监测计划</w:t>
            </w:r>
            <w:r>
              <w:rPr>
                <w:rFonts w:hint="eastAsia" w:ascii="Times New Roman" w:hAnsi="Times New Roman" w:cs="Times New Roman"/>
                <w:sz w:val="21"/>
                <w:szCs w:val="21"/>
                <w:lang w:val="zh-CN" w:eastAsia="zh-CN"/>
              </w:rPr>
              <w:t>；</w:t>
            </w:r>
            <w:r>
              <w:rPr>
                <w:rFonts w:hint="default" w:ascii="Times New Roman" w:hAnsi="Times New Roman" w:cs="Times New Roman"/>
                <w:sz w:val="21"/>
                <w:szCs w:val="21"/>
                <w:lang w:val="zh-CN" w:eastAsia="zh-CN"/>
              </w:rPr>
              <w:t>同时落实《报告表》中规范设置排污口、厂区分区防渗等其他建议及措施。</w:t>
            </w:r>
          </w:p>
        </w:tc>
        <w:tc>
          <w:tcPr>
            <w:tcW w:w="335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CE6A54">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lang w:val="en-US"/>
              </w:rPr>
            </w:pPr>
            <w:r>
              <w:rPr>
                <w:rFonts w:hint="default" w:ascii="Times New Roman" w:hAnsi="Times New Roman" w:cs="Times New Roman"/>
                <w:sz w:val="21"/>
                <w:szCs w:val="21"/>
              </w:rPr>
              <w:t>已</w:t>
            </w:r>
            <w:r>
              <w:rPr>
                <w:rFonts w:hint="default" w:ascii="Times New Roman" w:hAnsi="Times New Roman" w:cs="Times New Roman"/>
                <w:sz w:val="21"/>
                <w:szCs w:val="21"/>
                <w:lang w:val="zh-CN" w:eastAsia="zh-CN"/>
              </w:rPr>
              <w:t>提出的环境管理和监测计划</w:t>
            </w:r>
            <w:r>
              <w:rPr>
                <w:rFonts w:hint="eastAsia" w:ascii="Times New Roman" w:hAnsi="Times New Roman" w:cs="Times New Roman"/>
                <w:sz w:val="21"/>
                <w:szCs w:val="21"/>
                <w:lang w:val="zh-CN" w:eastAsia="zh-CN"/>
              </w:rPr>
              <w:t>，规范设置排污口、</w:t>
            </w:r>
            <w:r>
              <w:rPr>
                <w:rFonts w:hint="eastAsia" w:ascii="Times New Roman" w:hAnsi="Times New Roman" w:cs="Times New Roman"/>
                <w:sz w:val="21"/>
                <w:szCs w:val="21"/>
                <w:lang w:val="en-US" w:eastAsia="zh-CN"/>
              </w:rPr>
              <w:t>落实分区防渗措施。</w:t>
            </w:r>
          </w:p>
        </w:tc>
        <w:tc>
          <w:tcPr>
            <w:tcW w:w="9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DB1E97">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与环评一致</w:t>
            </w:r>
          </w:p>
        </w:tc>
      </w:tr>
      <w:tr w14:paraId="08F11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65CAD2">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5</w:t>
            </w:r>
          </w:p>
        </w:tc>
        <w:tc>
          <w:tcPr>
            <w:tcW w:w="57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730706">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结论</w:t>
            </w:r>
          </w:p>
        </w:tc>
        <w:tc>
          <w:tcPr>
            <w:tcW w:w="33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524609">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项目在建设和生产运行过程中，在严格执行“三同时”制度、落实环评报告中提出的各项污染防治措施的前提下，从环境影响角度，项目建设是可行的</w:t>
            </w:r>
            <w:r>
              <w:rPr>
                <w:rFonts w:hint="default" w:ascii="Times New Roman" w:hAnsi="Times New Roman" w:cs="Times New Roman"/>
                <w:sz w:val="21"/>
                <w:szCs w:val="21"/>
                <w:lang w:val="zh-CN"/>
              </w:rPr>
              <w:t>。</w:t>
            </w:r>
          </w:p>
        </w:tc>
        <w:tc>
          <w:tcPr>
            <w:tcW w:w="335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1A7063">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不会改变区域大气环境质量的现有功能级别、水环境质量的现有功能级别、声环境质量的现有功能级别、所有固废均妥善处置。</w:t>
            </w:r>
          </w:p>
        </w:tc>
        <w:tc>
          <w:tcPr>
            <w:tcW w:w="9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5FE265">
            <w:pPr>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center"/>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与环评一致</w:t>
            </w:r>
          </w:p>
        </w:tc>
      </w:tr>
    </w:tbl>
    <w:p w14:paraId="3E27F43D">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因此，项目各环境影响要素的影响分析结论未发生变化。</w:t>
      </w:r>
    </w:p>
    <w:p w14:paraId="3125517C">
      <w:pPr>
        <w:pStyle w:val="5"/>
        <w:bidi w:val="0"/>
        <w:rPr>
          <w:rFonts w:hint="eastAsia"/>
          <w:lang w:val="en-US" w:eastAsia="zh-CN"/>
        </w:rPr>
      </w:pPr>
      <w:r>
        <w:rPr>
          <w:rFonts w:hint="eastAsia"/>
          <w:lang w:val="en-US" w:eastAsia="zh-CN"/>
        </w:rPr>
        <w:t>3.3环境风险</w:t>
      </w:r>
    </w:p>
    <w:p w14:paraId="6F42F292">
      <w:pPr>
        <w:pStyle w:val="6"/>
        <w:bidi w:val="0"/>
        <w:rPr>
          <w:rFonts w:hint="eastAsia"/>
          <w:lang w:val="en-US" w:eastAsia="zh-CN"/>
        </w:rPr>
      </w:pPr>
      <w:r>
        <w:rPr>
          <w:rFonts w:hint="eastAsia"/>
          <w:lang w:val="en-US" w:eastAsia="zh-CN"/>
        </w:rPr>
        <w:t>3.3.1环境风险识别</w:t>
      </w:r>
    </w:p>
    <w:p w14:paraId="7A508246">
      <w:pPr>
        <w:pStyle w:val="21"/>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表3.3 环境风险识别对照一览表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
        <w:gridCol w:w="3480"/>
        <w:gridCol w:w="3045"/>
        <w:gridCol w:w="1065"/>
      </w:tblGrid>
      <w:tr w14:paraId="2B8B0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noWrap w:val="0"/>
            <w:vAlign w:val="center"/>
          </w:tcPr>
          <w:p w14:paraId="273A964E">
            <w:pPr>
              <w:pStyle w:val="19"/>
              <w:bidi w:val="0"/>
              <w:jc w:val="center"/>
              <w:rPr>
                <w:rFonts w:hint="default"/>
                <w:lang w:val="en-US" w:eastAsia="zh-CN"/>
              </w:rPr>
            </w:pPr>
            <w:r>
              <w:rPr>
                <w:rFonts w:hint="eastAsia"/>
                <w:lang w:val="en-US" w:eastAsia="zh-CN"/>
              </w:rPr>
              <w:t>项目</w:t>
            </w:r>
          </w:p>
        </w:tc>
        <w:tc>
          <w:tcPr>
            <w:tcW w:w="3480" w:type="dxa"/>
            <w:noWrap w:val="0"/>
            <w:vAlign w:val="center"/>
          </w:tcPr>
          <w:p w14:paraId="61AF4D3B">
            <w:pPr>
              <w:pStyle w:val="19"/>
              <w:bidi w:val="0"/>
              <w:jc w:val="center"/>
              <w:rPr>
                <w:rFonts w:hint="default"/>
                <w:lang w:val="en-US" w:eastAsia="zh-CN"/>
              </w:rPr>
            </w:pPr>
            <w:r>
              <w:rPr>
                <w:rFonts w:hint="eastAsia"/>
                <w:lang w:val="en-US" w:eastAsia="zh-CN"/>
              </w:rPr>
              <w:t>环评</w:t>
            </w:r>
          </w:p>
        </w:tc>
        <w:tc>
          <w:tcPr>
            <w:tcW w:w="3045" w:type="dxa"/>
            <w:noWrap w:val="0"/>
            <w:vAlign w:val="center"/>
          </w:tcPr>
          <w:p w14:paraId="3DF1CA9C">
            <w:pPr>
              <w:pStyle w:val="19"/>
              <w:bidi w:val="0"/>
              <w:jc w:val="center"/>
              <w:rPr>
                <w:rFonts w:hint="default"/>
                <w:lang w:val="en-US" w:eastAsia="zh-CN"/>
              </w:rPr>
            </w:pPr>
            <w:r>
              <w:rPr>
                <w:rFonts w:hint="eastAsia"/>
                <w:lang w:val="en-US" w:eastAsia="zh-CN"/>
              </w:rPr>
              <w:t>实际建设</w:t>
            </w:r>
          </w:p>
        </w:tc>
        <w:tc>
          <w:tcPr>
            <w:tcW w:w="1065" w:type="dxa"/>
            <w:noWrap w:val="0"/>
            <w:vAlign w:val="center"/>
          </w:tcPr>
          <w:p w14:paraId="3534D471">
            <w:pPr>
              <w:pStyle w:val="19"/>
              <w:bidi w:val="0"/>
              <w:jc w:val="center"/>
              <w:rPr>
                <w:rFonts w:hint="eastAsia"/>
                <w:lang w:val="en-US" w:eastAsia="zh-CN"/>
              </w:rPr>
            </w:pPr>
            <w:r>
              <w:rPr>
                <w:rFonts w:hint="eastAsia"/>
                <w:lang w:val="en-US" w:eastAsia="zh-CN"/>
              </w:rPr>
              <w:t>是否变化</w:t>
            </w:r>
          </w:p>
        </w:tc>
      </w:tr>
      <w:tr w14:paraId="61898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1" w:type="dxa"/>
            <w:noWrap w:val="0"/>
            <w:vAlign w:val="center"/>
          </w:tcPr>
          <w:p w14:paraId="29CEE120">
            <w:pPr>
              <w:pStyle w:val="19"/>
              <w:bidi w:val="0"/>
              <w:jc w:val="left"/>
              <w:rPr>
                <w:rFonts w:hint="default"/>
                <w:lang w:val="en-US" w:eastAsia="zh-CN"/>
              </w:rPr>
            </w:pPr>
            <w:r>
              <w:rPr>
                <w:rFonts w:hint="eastAsia"/>
                <w:lang w:val="en-US" w:eastAsia="zh-CN"/>
              </w:rPr>
              <w:t>环境风险物质</w:t>
            </w:r>
          </w:p>
        </w:tc>
        <w:tc>
          <w:tcPr>
            <w:tcW w:w="3480" w:type="dxa"/>
            <w:noWrap w:val="0"/>
            <w:vAlign w:val="center"/>
          </w:tcPr>
          <w:p w14:paraId="26D0216D">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eastAsia="宋体"/>
                <w:lang w:val="en-US" w:eastAsia="zh-CN"/>
              </w:rPr>
            </w:pPr>
            <w:r>
              <w:rPr>
                <w:rFonts w:hint="eastAsia" w:ascii="Times New Roman" w:hAnsi="Times New Roman" w:eastAsia="宋体" w:cs="Times New Roman"/>
              </w:rPr>
              <w:t>本项目</w:t>
            </w:r>
            <w:r>
              <w:rPr>
                <w:rFonts w:hint="eastAsia" w:ascii="Times New Roman" w:hAnsi="Times New Roman" w:eastAsia="宋体" w:cs="Times New Roman"/>
                <w:lang w:val="en-US" w:eastAsia="zh-CN"/>
              </w:rPr>
              <w:t>涉及到的环境风险物质为</w:t>
            </w:r>
            <w:r>
              <w:rPr>
                <w:rFonts w:hint="eastAsia" w:ascii="Times New Roman" w:hAnsi="Times New Roman" w:eastAsia="宋体" w:cs="Times New Roman"/>
              </w:rPr>
              <w:t>氢气、邻二氟苯、吡啶、乙酸乙酯、甲苯、甲醇、乙醇、乙腈、环己烷、石油醚、正丙醇、丙酮</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乙醚等</w:t>
            </w:r>
          </w:p>
        </w:tc>
        <w:tc>
          <w:tcPr>
            <w:tcW w:w="3045" w:type="dxa"/>
            <w:noWrap w:val="0"/>
            <w:vAlign w:val="center"/>
          </w:tcPr>
          <w:p w14:paraId="597DD2A2">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eastAsia"/>
                <w:lang w:val="en-US" w:eastAsia="zh-CN"/>
              </w:rPr>
            </w:pPr>
            <w:r>
              <w:rPr>
                <w:rFonts w:hint="eastAsia"/>
              </w:rPr>
              <w:t>本项目</w:t>
            </w:r>
            <w:r>
              <w:rPr>
                <w:rFonts w:hint="eastAsia"/>
                <w:lang w:val="en-US" w:eastAsia="zh-CN"/>
              </w:rPr>
              <w:t>涉及到的环境风险物质为废矿物油等</w:t>
            </w:r>
          </w:p>
        </w:tc>
        <w:tc>
          <w:tcPr>
            <w:tcW w:w="1065" w:type="dxa"/>
            <w:noWrap w:val="0"/>
            <w:vAlign w:val="center"/>
          </w:tcPr>
          <w:p w14:paraId="7D16EF98">
            <w:pPr>
              <w:pStyle w:val="19"/>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lang w:val="en-US" w:eastAsia="zh-CN"/>
              </w:rPr>
            </w:pPr>
            <w:r>
              <w:rPr>
                <w:rFonts w:hint="eastAsia"/>
                <w:lang w:val="en-US" w:eastAsia="zh-CN"/>
              </w:rPr>
              <w:t>环境风险物质减少</w:t>
            </w:r>
          </w:p>
        </w:tc>
      </w:tr>
      <w:tr w14:paraId="2AFE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noWrap w:val="0"/>
            <w:vAlign w:val="center"/>
          </w:tcPr>
          <w:p w14:paraId="2DD13BE2">
            <w:pPr>
              <w:pStyle w:val="19"/>
              <w:bidi w:val="0"/>
              <w:jc w:val="left"/>
              <w:rPr>
                <w:rFonts w:hint="default"/>
                <w:lang w:val="en-US" w:eastAsia="zh-CN"/>
              </w:rPr>
            </w:pPr>
            <w:r>
              <w:rPr>
                <w:rFonts w:hint="eastAsia"/>
              </w:rPr>
              <w:t>生产过程风险识别</w:t>
            </w:r>
          </w:p>
        </w:tc>
        <w:tc>
          <w:tcPr>
            <w:tcW w:w="3480" w:type="dxa"/>
            <w:noWrap w:val="0"/>
            <w:vAlign w:val="center"/>
          </w:tcPr>
          <w:p w14:paraId="6B99B7CD">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lang w:val="en-US" w:eastAsia="zh-CN"/>
              </w:rPr>
            </w:pPr>
            <w:r>
              <w:rPr>
                <w:rFonts w:hint="default"/>
                <w:lang w:val="en-US" w:eastAsia="zh-CN"/>
              </w:rPr>
              <w:t>1、根据风险导则，本项目存在重大危险源</w:t>
            </w:r>
            <w:r>
              <w:rPr>
                <w:rFonts w:hint="eastAsia"/>
                <w:lang w:val="en-US" w:eastAsia="zh-CN"/>
              </w:rPr>
              <w:t>，</w:t>
            </w:r>
            <w:r>
              <w:rPr>
                <w:rFonts w:hint="default"/>
                <w:lang w:val="en-US" w:eastAsia="zh-CN"/>
              </w:rPr>
              <w:t>。</w:t>
            </w:r>
          </w:p>
          <w:p w14:paraId="4A665C6A">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lang w:val="en-US" w:eastAsia="zh-CN"/>
              </w:rPr>
            </w:pPr>
            <w:r>
              <w:rPr>
                <w:rFonts w:hint="default"/>
                <w:lang w:val="en-US" w:eastAsia="zh-CN"/>
              </w:rPr>
              <w:t>2、本项目事故风险的类别主要是泄漏和火灾引起大气、土壤及地下水污染</w:t>
            </w:r>
            <w:r>
              <w:rPr>
                <w:rFonts w:hint="eastAsia"/>
                <w:lang w:val="en-US" w:eastAsia="zh-CN"/>
              </w:rPr>
              <w:t>。</w:t>
            </w:r>
          </w:p>
        </w:tc>
        <w:tc>
          <w:tcPr>
            <w:tcW w:w="3045" w:type="dxa"/>
            <w:noWrap w:val="0"/>
            <w:vAlign w:val="center"/>
          </w:tcPr>
          <w:p w14:paraId="52197FCC">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lang w:val="en-US" w:eastAsia="zh-CN"/>
              </w:rPr>
            </w:pPr>
            <w:r>
              <w:rPr>
                <w:rFonts w:hint="default"/>
                <w:lang w:val="en-US" w:eastAsia="zh-CN"/>
              </w:rPr>
              <w:t>1、</w:t>
            </w:r>
            <w:r>
              <w:rPr>
                <w:rFonts w:hint="eastAsia"/>
                <w:lang w:val="en-US" w:eastAsia="zh-CN"/>
              </w:rPr>
              <w:t>由于仅建设VC生产线，故</w:t>
            </w:r>
            <w:r>
              <w:rPr>
                <w:rFonts w:hint="default"/>
                <w:lang w:val="en-US" w:eastAsia="zh-CN"/>
              </w:rPr>
              <w:t>项目不存在重大危险源。</w:t>
            </w:r>
          </w:p>
          <w:p w14:paraId="0F0EB8C5">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lang w:val="en-US" w:eastAsia="zh-CN"/>
              </w:rPr>
            </w:pPr>
            <w:r>
              <w:rPr>
                <w:rFonts w:hint="default"/>
                <w:lang w:val="en-US" w:eastAsia="zh-CN"/>
              </w:rPr>
              <w:t>2、本项目事故风险的类别主要是泄漏和火灾引起大气、土壤及地下水污染。</w:t>
            </w:r>
            <w:bookmarkStart w:id="0" w:name="_GoBack"/>
            <w:bookmarkEnd w:id="0"/>
          </w:p>
        </w:tc>
        <w:tc>
          <w:tcPr>
            <w:tcW w:w="1065" w:type="dxa"/>
            <w:noWrap w:val="0"/>
            <w:vAlign w:val="center"/>
          </w:tcPr>
          <w:p w14:paraId="546B833F">
            <w:pPr>
              <w:pStyle w:val="19"/>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lang w:val="en-US" w:eastAsia="zh-CN"/>
              </w:rPr>
            </w:pPr>
            <w:r>
              <w:rPr>
                <w:rFonts w:hint="eastAsia"/>
                <w:lang w:val="en-US" w:eastAsia="zh-CN"/>
              </w:rPr>
              <w:t>是，项目风险等级变低</w:t>
            </w:r>
          </w:p>
        </w:tc>
      </w:tr>
    </w:tbl>
    <w:p w14:paraId="341C3F5A">
      <w:pPr>
        <w:pStyle w:val="6"/>
        <w:bidi w:val="0"/>
        <w:rPr>
          <w:rFonts w:hint="eastAsia"/>
          <w:lang w:val="en-US" w:eastAsia="zh-CN"/>
        </w:rPr>
      </w:pPr>
      <w:r>
        <w:rPr>
          <w:rFonts w:hint="eastAsia"/>
          <w:lang w:val="en-US" w:eastAsia="zh-CN"/>
        </w:rPr>
        <w:t>3.3.2环境风险防范措施</w:t>
      </w:r>
    </w:p>
    <w:p w14:paraId="07E9987E">
      <w:pPr>
        <w:pStyle w:val="21"/>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表3.4 环境风险防范措施对照一览表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6"/>
        <w:gridCol w:w="3075"/>
        <w:gridCol w:w="3225"/>
        <w:gridCol w:w="1064"/>
      </w:tblGrid>
      <w:tr w14:paraId="64EB1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noWrap w:val="0"/>
            <w:vAlign w:val="center"/>
          </w:tcPr>
          <w:p w14:paraId="39FE67B2">
            <w:pPr>
              <w:pStyle w:val="19"/>
              <w:bidi w:val="0"/>
              <w:jc w:val="center"/>
              <w:rPr>
                <w:rFonts w:hint="default"/>
                <w:lang w:val="en-US" w:eastAsia="zh-CN"/>
              </w:rPr>
            </w:pPr>
            <w:r>
              <w:rPr>
                <w:rFonts w:hint="eastAsia"/>
                <w:lang w:val="en-US" w:eastAsia="zh-CN"/>
              </w:rPr>
              <w:t>项目</w:t>
            </w:r>
          </w:p>
        </w:tc>
        <w:tc>
          <w:tcPr>
            <w:tcW w:w="3075" w:type="dxa"/>
            <w:noWrap w:val="0"/>
            <w:vAlign w:val="center"/>
          </w:tcPr>
          <w:p w14:paraId="3DFD2CCB">
            <w:pPr>
              <w:pStyle w:val="19"/>
              <w:bidi w:val="0"/>
              <w:jc w:val="center"/>
              <w:rPr>
                <w:rFonts w:hint="default"/>
                <w:lang w:val="en-US" w:eastAsia="zh-CN"/>
              </w:rPr>
            </w:pPr>
            <w:r>
              <w:rPr>
                <w:rFonts w:hint="eastAsia"/>
                <w:lang w:val="en-US" w:eastAsia="zh-CN"/>
              </w:rPr>
              <w:t>环评</w:t>
            </w:r>
          </w:p>
        </w:tc>
        <w:tc>
          <w:tcPr>
            <w:tcW w:w="3225" w:type="dxa"/>
            <w:noWrap w:val="0"/>
            <w:vAlign w:val="center"/>
          </w:tcPr>
          <w:p w14:paraId="5DD802CE">
            <w:pPr>
              <w:pStyle w:val="19"/>
              <w:bidi w:val="0"/>
              <w:jc w:val="center"/>
              <w:rPr>
                <w:rFonts w:hint="default"/>
                <w:lang w:val="en-US" w:eastAsia="zh-CN"/>
              </w:rPr>
            </w:pPr>
            <w:r>
              <w:rPr>
                <w:rFonts w:hint="eastAsia"/>
                <w:lang w:val="en-US" w:eastAsia="zh-CN"/>
              </w:rPr>
              <w:t>实际建设</w:t>
            </w:r>
          </w:p>
        </w:tc>
        <w:tc>
          <w:tcPr>
            <w:tcW w:w="1064" w:type="dxa"/>
            <w:noWrap w:val="0"/>
            <w:vAlign w:val="center"/>
          </w:tcPr>
          <w:p w14:paraId="1B96F31D">
            <w:pPr>
              <w:pStyle w:val="19"/>
              <w:bidi w:val="0"/>
              <w:ind w:firstLine="0" w:firstLineChars="0"/>
              <w:jc w:val="center"/>
              <w:rPr>
                <w:rFonts w:hint="eastAsia"/>
                <w:lang w:val="en-US" w:eastAsia="zh-CN"/>
              </w:rPr>
            </w:pPr>
            <w:r>
              <w:rPr>
                <w:rFonts w:hint="eastAsia"/>
                <w:lang w:val="en-US" w:eastAsia="zh-CN"/>
              </w:rPr>
              <w:t>是否变化</w:t>
            </w:r>
          </w:p>
        </w:tc>
      </w:tr>
      <w:tr w14:paraId="4F976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noWrap w:val="0"/>
            <w:vAlign w:val="center"/>
          </w:tcPr>
          <w:p w14:paraId="60A96822">
            <w:pPr>
              <w:pStyle w:val="19"/>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环境风险防范措施</w:t>
            </w:r>
          </w:p>
        </w:tc>
        <w:tc>
          <w:tcPr>
            <w:tcW w:w="3075" w:type="dxa"/>
            <w:noWrap w:val="0"/>
            <w:vAlign w:val="center"/>
          </w:tcPr>
          <w:p w14:paraId="54476553">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lang w:val="en-US" w:eastAsia="zh-CN"/>
              </w:rPr>
            </w:pPr>
            <w:r>
              <w:rPr>
                <w:rFonts w:hint="default" w:ascii="Times New Roman" w:hAnsi="Times New Roman" w:eastAsia="宋体" w:cs="Times New Roman"/>
                <w:szCs w:val="21"/>
                <w:lang w:val="en-US" w:eastAsia="zh-CN"/>
              </w:rPr>
              <w:t>（1）组织厂区的安全环保管理相关人员进行环保安全工作；（2）严格按照规范要求建设厂区；（3）按分区防渗的要求设置防渗漏措施；（4）建设有消防及火灾报警系统。</w:t>
            </w:r>
          </w:p>
        </w:tc>
        <w:tc>
          <w:tcPr>
            <w:tcW w:w="3225" w:type="dxa"/>
            <w:noWrap w:val="0"/>
            <w:vAlign w:val="center"/>
          </w:tcPr>
          <w:p w14:paraId="131A9622">
            <w:pPr>
              <w:pStyle w:val="19"/>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eastAsia" w:ascii="Times New Roman" w:hAnsi="Times New Roman" w:eastAsia="宋体" w:cs="Times New Roman"/>
                <w:lang w:val="en-US" w:eastAsia="zh-CN"/>
              </w:rPr>
            </w:pPr>
            <w:r>
              <w:rPr>
                <w:rFonts w:hint="eastAsia"/>
                <w:szCs w:val="21"/>
                <w:lang w:val="en-US" w:eastAsia="zh-CN"/>
              </w:rPr>
              <w:t>（1）组织厂区的安全环保管理相关人员进行环保安全工作；（2）严格按照规范要求建设厂区；（3）按分区防渗的要求设置防渗漏措施；（4）建设有消防及火灾报警系统。</w:t>
            </w:r>
          </w:p>
        </w:tc>
        <w:tc>
          <w:tcPr>
            <w:tcW w:w="1064" w:type="dxa"/>
            <w:noWrap w:val="0"/>
            <w:vAlign w:val="center"/>
          </w:tcPr>
          <w:p w14:paraId="129A9066">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lang w:val="en-US" w:eastAsia="zh-CN"/>
              </w:rPr>
            </w:pPr>
            <w:r>
              <w:rPr>
                <w:rFonts w:hint="eastAsia"/>
                <w:lang w:eastAsia="zh-CN"/>
              </w:rPr>
              <w:t>否</w:t>
            </w:r>
          </w:p>
        </w:tc>
      </w:tr>
    </w:tbl>
    <w:p w14:paraId="47074120">
      <w:pPr>
        <w:pStyle w:val="4"/>
        <w:bidi w:val="0"/>
        <w:rPr>
          <w:rFonts w:hint="eastAsia"/>
          <w:lang w:val="en-US" w:eastAsia="zh-CN"/>
        </w:rPr>
      </w:pPr>
      <w:r>
        <w:rPr>
          <w:rFonts w:hint="eastAsia"/>
          <w:lang w:val="en-US" w:eastAsia="zh-CN"/>
        </w:rPr>
        <w:t>4结论</w:t>
      </w:r>
    </w:p>
    <w:p w14:paraId="1DD81349">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eastAsia="宋体"/>
          <w:lang w:val="en-US" w:eastAsia="zh-CN"/>
        </w:rPr>
      </w:pPr>
      <w:r>
        <w:rPr>
          <w:rFonts w:hint="eastAsia"/>
          <w:lang w:val="en-US" w:eastAsia="zh-CN"/>
        </w:rPr>
        <w:t>综上所述，本项目发生非重大变动后，原建设项目环境影响评价结论不发生变化，从环保角度而言，项目在认真落实环评中提出的各项污染防治措施，严格执行“三同时”制度，确保污染物达标排放，加强环保管理和安全生产的前提下，项目实施是可行的。</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E849C">
    <w:pPr>
      <w:pStyle w:val="13"/>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77FFD3D">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77FFD3D">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wZmJkYzljY2UzZGI5ZmY5Y2RkZjBmNjI2YzJhNjIifQ=="/>
  </w:docVars>
  <w:rsids>
    <w:rsidRoot w:val="00172A27"/>
    <w:rsid w:val="012052E8"/>
    <w:rsid w:val="018D384A"/>
    <w:rsid w:val="01965B57"/>
    <w:rsid w:val="036357D3"/>
    <w:rsid w:val="037F4DFD"/>
    <w:rsid w:val="054902B4"/>
    <w:rsid w:val="06AD0713"/>
    <w:rsid w:val="09A977F6"/>
    <w:rsid w:val="0CA93AB4"/>
    <w:rsid w:val="0EF16F8A"/>
    <w:rsid w:val="0F1F4E83"/>
    <w:rsid w:val="0F843530"/>
    <w:rsid w:val="117A7DFF"/>
    <w:rsid w:val="121A373A"/>
    <w:rsid w:val="12AB53EB"/>
    <w:rsid w:val="14343836"/>
    <w:rsid w:val="14FE5F5C"/>
    <w:rsid w:val="16A6065A"/>
    <w:rsid w:val="174C7453"/>
    <w:rsid w:val="18C41D98"/>
    <w:rsid w:val="202535AE"/>
    <w:rsid w:val="22563617"/>
    <w:rsid w:val="24FC13B1"/>
    <w:rsid w:val="2B2F6D4C"/>
    <w:rsid w:val="2BE51C61"/>
    <w:rsid w:val="2C300CD1"/>
    <w:rsid w:val="2DD25D35"/>
    <w:rsid w:val="2E2A1718"/>
    <w:rsid w:val="31AF3DBD"/>
    <w:rsid w:val="34C41CDB"/>
    <w:rsid w:val="352D5D11"/>
    <w:rsid w:val="35B035D4"/>
    <w:rsid w:val="377318CC"/>
    <w:rsid w:val="377B00B7"/>
    <w:rsid w:val="378A132C"/>
    <w:rsid w:val="392F57DE"/>
    <w:rsid w:val="3A6E5856"/>
    <w:rsid w:val="3AEA0A5B"/>
    <w:rsid w:val="3CE615D6"/>
    <w:rsid w:val="3D4225DB"/>
    <w:rsid w:val="3D864CBB"/>
    <w:rsid w:val="3FA255B3"/>
    <w:rsid w:val="4736414F"/>
    <w:rsid w:val="47B059B8"/>
    <w:rsid w:val="4BB270BA"/>
    <w:rsid w:val="4E484B22"/>
    <w:rsid w:val="509931E0"/>
    <w:rsid w:val="52213F08"/>
    <w:rsid w:val="538F1BCC"/>
    <w:rsid w:val="59F9006D"/>
    <w:rsid w:val="5A9F2092"/>
    <w:rsid w:val="5BBC76ED"/>
    <w:rsid w:val="5E2F2199"/>
    <w:rsid w:val="60D31FE1"/>
    <w:rsid w:val="618F2BF9"/>
    <w:rsid w:val="62F92566"/>
    <w:rsid w:val="646743EC"/>
    <w:rsid w:val="6A8A5928"/>
    <w:rsid w:val="6AB204F0"/>
    <w:rsid w:val="6AB216E8"/>
    <w:rsid w:val="700A075D"/>
    <w:rsid w:val="74224CEA"/>
    <w:rsid w:val="760E64DB"/>
    <w:rsid w:val="78C93272"/>
    <w:rsid w:val="78D70313"/>
    <w:rsid w:val="7EC51C99"/>
    <w:rsid w:val="7F0F72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left"/>
    </w:pPr>
    <w:rPr>
      <w:rFonts w:ascii="Times New Roman" w:hAnsi="Times New Roman" w:eastAsia="宋体" w:cs="Times New Roman"/>
      <w:kern w:val="2"/>
      <w:sz w:val="24"/>
      <w:szCs w:val="28"/>
      <w:lang w:val="en-US" w:eastAsia="zh-CN" w:bidi="ar-SA"/>
    </w:rPr>
  </w:style>
  <w:style w:type="paragraph" w:styleId="3">
    <w:name w:val="heading 1"/>
    <w:basedOn w:val="1"/>
    <w:next w:val="1"/>
    <w:link w:val="23"/>
    <w:qFormat/>
    <w:uiPriority w:val="0"/>
    <w:pPr>
      <w:keepNext/>
      <w:keepLines/>
      <w:spacing w:before="50" w:beforeLines="50" w:after="50" w:afterLines="50" w:line="480" w:lineRule="auto"/>
      <w:ind w:firstLine="0" w:firstLineChars="0"/>
      <w:jc w:val="left"/>
      <w:outlineLvl w:val="0"/>
    </w:pPr>
    <w:rPr>
      <w:rFonts w:eastAsia="宋体"/>
      <w:b/>
      <w:bCs/>
      <w:kern w:val="44"/>
      <w:sz w:val="36"/>
      <w:szCs w:val="44"/>
    </w:rPr>
  </w:style>
  <w:style w:type="paragraph" w:styleId="4">
    <w:name w:val="heading 2"/>
    <w:basedOn w:val="1"/>
    <w:next w:val="1"/>
    <w:link w:val="24"/>
    <w:unhideWhenUsed/>
    <w:qFormat/>
    <w:uiPriority w:val="0"/>
    <w:pPr>
      <w:keepNext/>
      <w:keepLines/>
      <w:ind w:firstLine="0" w:firstLineChars="0"/>
      <w:outlineLvl w:val="1"/>
    </w:pPr>
    <w:rPr>
      <w:rFonts w:eastAsia="宋体" w:cs="Times New Roman"/>
      <w:b/>
      <w:bCs/>
      <w:sz w:val="28"/>
      <w:szCs w:val="32"/>
    </w:rPr>
  </w:style>
  <w:style w:type="paragraph" w:styleId="5">
    <w:name w:val="heading 3"/>
    <w:basedOn w:val="1"/>
    <w:next w:val="1"/>
    <w:link w:val="25"/>
    <w:unhideWhenUsed/>
    <w:qFormat/>
    <w:uiPriority w:val="0"/>
    <w:pPr>
      <w:keepNext/>
      <w:keepLines/>
      <w:ind w:firstLine="0" w:firstLineChars="0"/>
      <w:outlineLvl w:val="2"/>
    </w:pPr>
    <w:rPr>
      <w:rFonts w:ascii="Times New Roman" w:hAnsi="Times New Roman" w:eastAsia="宋体" w:cs="Times New Roman"/>
      <w:b/>
      <w:bCs/>
      <w:szCs w:val="32"/>
    </w:rPr>
  </w:style>
  <w:style w:type="paragraph" w:styleId="6">
    <w:name w:val="heading 4"/>
    <w:basedOn w:val="1"/>
    <w:next w:val="1"/>
    <w:link w:val="22"/>
    <w:unhideWhenUsed/>
    <w:qFormat/>
    <w:uiPriority w:val="0"/>
    <w:pPr>
      <w:keepNext/>
      <w:keepLines/>
      <w:spacing w:line="360" w:lineRule="auto"/>
      <w:ind w:firstLine="0" w:firstLineChars="0"/>
      <w:outlineLvl w:val="3"/>
    </w:pPr>
    <w:rPr>
      <w:rFonts w:ascii="Times New Roman" w:hAnsi="Times New Roman" w:eastAsia="宋体" w:cs="Times New Roman"/>
      <w:bCs/>
      <w:kern w:val="2"/>
      <w:szCs w:val="28"/>
    </w:rPr>
  </w:style>
  <w:style w:type="paragraph" w:styleId="7">
    <w:name w:val="heading 6"/>
    <w:basedOn w:val="1"/>
    <w:next w:val="1"/>
    <w:unhideWhenUsed/>
    <w:qFormat/>
    <w:uiPriority w:val="0"/>
    <w:pPr>
      <w:keepNext/>
      <w:keepLines/>
      <w:spacing w:line="360" w:lineRule="auto"/>
      <w:ind w:firstLine="0" w:firstLineChars="0"/>
      <w:jc w:val="center"/>
      <w:outlineLvl w:val="5"/>
    </w:pPr>
    <w:rPr>
      <w:rFonts w:ascii="Times New Roman" w:hAnsi="Times New Roman" w:eastAsia="宋体" w:cs="Times New Roman"/>
      <w:b/>
      <w:bCs/>
      <w:kern w:val="2"/>
    </w:rPr>
  </w:style>
  <w:style w:type="character" w:default="1" w:styleId="18">
    <w:name w:val="Default Paragraph Font"/>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beforeLines="0" w:after="120" w:afterLines="0"/>
    </w:pPr>
    <w:rPr>
      <w:rFonts w:hint="default"/>
      <w:sz w:val="21"/>
      <w:szCs w:val="22"/>
    </w:rPr>
  </w:style>
  <w:style w:type="paragraph" w:styleId="8">
    <w:name w:val="Normal Indent"/>
    <w:basedOn w:val="1"/>
    <w:next w:val="9"/>
    <w:qFormat/>
    <w:uiPriority w:val="0"/>
    <w:pPr>
      <w:spacing w:line="360" w:lineRule="exact"/>
      <w:ind w:firstLine="420" w:firstLineChars="200"/>
    </w:pPr>
    <w:rPr>
      <w:rFonts w:ascii="Times New Roman" w:hAnsi="Times New Roman" w:cs="Times New Roman"/>
      <w:kern w:val="2"/>
      <w:szCs w:val="20"/>
    </w:rPr>
  </w:style>
  <w:style w:type="paragraph" w:styleId="9">
    <w:name w:val="Body Text First Indent 2"/>
    <w:basedOn w:val="1"/>
    <w:next w:val="1"/>
    <w:unhideWhenUsed/>
    <w:qFormat/>
    <w:uiPriority w:val="99"/>
    <w:pPr>
      <w:ind w:firstLine="420"/>
    </w:pPr>
  </w:style>
  <w:style w:type="paragraph" w:styleId="10">
    <w:name w:val="Body Text Indent"/>
    <w:basedOn w:val="1"/>
    <w:next w:val="11"/>
    <w:unhideWhenUsed/>
    <w:qFormat/>
    <w:uiPriority w:val="99"/>
    <w:pPr>
      <w:spacing w:before="120" w:line="360" w:lineRule="atLeast"/>
      <w:ind w:firstLine="539"/>
    </w:pPr>
    <w:rPr>
      <w:sz w:val="24"/>
    </w:rPr>
  </w:style>
  <w:style w:type="paragraph" w:styleId="11">
    <w:name w:val="envelope return"/>
    <w:basedOn w:val="1"/>
    <w:unhideWhenUsed/>
    <w:qFormat/>
    <w:uiPriority w:val="99"/>
    <w:pPr>
      <w:snapToGrid w:val="0"/>
      <w:ind w:firstLine="723"/>
      <w:jc w:val="left"/>
    </w:pPr>
    <w:rPr>
      <w:rFonts w:ascii="Arial" w:hAnsi="Arial" w:cs="宋体"/>
    </w:rPr>
  </w:style>
  <w:style w:type="paragraph" w:styleId="12">
    <w:name w:val="Plain Text"/>
    <w:basedOn w:val="1"/>
    <w:next w:val="1"/>
    <w:qFormat/>
    <w:uiPriority w:val="0"/>
    <w:rPr>
      <w:rFonts w:ascii="Times New Roman" w:hAnsi="Times New Roman" w:eastAsia="宋体" w:cs="Courier New"/>
      <w:szCs w:val="21"/>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Normal (Web)"/>
    <w:basedOn w:val="1"/>
    <w:semiHidden/>
    <w:unhideWhenUsed/>
    <w:qFormat/>
    <w:uiPriority w:val="99"/>
    <w:pPr>
      <w:adjustRightInd/>
      <w:snapToGrid/>
      <w:spacing w:before="0" w:beforeAutospacing="1" w:after="0" w:afterAutospacing="1" w:line="240" w:lineRule="auto"/>
      <w:ind w:left="0" w:right="0" w:firstLine="0" w:firstLineChars="0"/>
      <w:jc w:val="left"/>
    </w:pPr>
    <w:rPr>
      <w:rFonts w:ascii="宋体" w:hAnsi="宋体" w:eastAsia="宋体" w:cs="宋体"/>
      <w:snapToGrid/>
      <w:kern w:val="0"/>
      <w:sz w:val="24"/>
      <w:lang w:val="en-US" w:eastAsia="zh-CN" w:bidi="ar"/>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表格"/>
    <w:basedOn w:val="12"/>
    <w:link w:val="20"/>
    <w:qFormat/>
    <w:uiPriority w:val="0"/>
    <w:pPr>
      <w:adjustRightInd w:val="0"/>
      <w:snapToGrid w:val="0"/>
      <w:spacing w:line="240" w:lineRule="auto"/>
      <w:ind w:firstLine="0" w:firstLineChars="0"/>
      <w:jc w:val="center"/>
    </w:pPr>
    <w:rPr>
      <w:rFonts w:ascii="Times New Roman" w:hAnsi="Times New Roman" w:eastAsia="宋体" w:cs="Times New Roman"/>
      <w:kern w:val="0"/>
      <w:sz w:val="21"/>
      <w:szCs w:val="20"/>
    </w:rPr>
  </w:style>
  <w:style w:type="character" w:customStyle="1" w:styleId="20">
    <w:name w:val="表格 Char"/>
    <w:link w:val="19"/>
    <w:qFormat/>
    <w:uiPriority w:val="0"/>
    <w:rPr>
      <w:rFonts w:ascii="Times New Roman" w:hAnsi="Times New Roman" w:eastAsia="宋体" w:cs="Times New Roman"/>
      <w:kern w:val="0"/>
      <w:sz w:val="21"/>
    </w:rPr>
  </w:style>
  <w:style w:type="paragraph" w:customStyle="1" w:styleId="21">
    <w:name w:val="表格标题"/>
    <w:basedOn w:val="1"/>
    <w:next w:val="1"/>
    <w:qFormat/>
    <w:uiPriority w:val="0"/>
    <w:pPr>
      <w:tabs>
        <w:tab w:val="center" w:pos="4395"/>
      </w:tabs>
      <w:snapToGrid w:val="0"/>
      <w:ind w:firstLine="0" w:firstLineChars="0"/>
      <w:jc w:val="center"/>
    </w:pPr>
    <w:rPr>
      <w:rFonts w:ascii="Times New Roman" w:hAnsi="Times New Roman" w:eastAsia="宋体"/>
      <w:b/>
      <w:sz w:val="24"/>
      <w:szCs w:val="24"/>
    </w:rPr>
  </w:style>
  <w:style w:type="character" w:customStyle="1" w:styleId="22">
    <w:name w:val="标题 4 Char2"/>
    <w:basedOn w:val="18"/>
    <w:link w:val="6"/>
    <w:qFormat/>
    <w:uiPriority w:val="9"/>
    <w:rPr>
      <w:rFonts w:ascii="Times New Roman" w:hAnsi="Times New Roman" w:eastAsia="宋体" w:cs="Times New Roman"/>
      <w:bCs/>
      <w:kern w:val="2"/>
      <w:sz w:val="24"/>
      <w:szCs w:val="28"/>
    </w:rPr>
  </w:style>
  <w:style w:type="character" w:customStyle="1" w:styleId="23">
    <w:name w:val="标题 1 Char2"/>
    <w:basedOn w:val="18"/>
    <w:link w:val="3"/>
    <w:qFormat/>
    <w:uiPriority w:val="9"/>
    <w:rPr>
      <w:rFonts w:ascii="Calibri" w:hAnsi="Calibri" w:eastAsia="宋体" w:cs="Times New Roman"/>
      <w:b/>
      <w:bCs/>
      <w:kern w:val="44"/>
      <w:sz w:val="36"/>
      <w:szCs w:val="44"/>
    </w:rPr>
  </w:style>
  <w:style w:type="character" w:customStyle="1" w:styleId="24">
    <w:name w:val="标题 2 Char1"/>
    <w:basedOn w:val="18"/>
    <w:link w:val="4"/>
    <w:qFormat/>
    <w:uiPriority w:val="9"/>
    <w:rPr>
      <w:rFonts w:ascii="Times New Roman" w:hAnsi="Times New Roman" w:eastAsia="宋体" w:cs="Times New Roman"/>
      <w:b/>
      <w:bCs/>
      <w:kern w:val="0"/>
      <w:sz w:val="28"/>
      <w:szCs w:val="32"/>
    </w:rPr>
  </w:style>
  <w:style w:type="character" w:customStyle="1" w:styleId="25">
    <w:name w:val="标题 3 Char1"/>
    <w:basedOn w:val="18"/>
    <w:link w:val="5"/>
    <w:qFormat/>
    <w:uiPriority w:val="9"/>
    <w:rPr>
      <w:rFonts w:ascii="Times New Roman" w:hAnsi="Times New Roman" w:eastAsia="宋体" w:cs="Times New Roman"/>
      <w:b/>
      <w:bCs/>
      <w:kern w:val="0"/>
      <w:sz w:val="24"/>
      <w:szCs w:val="32"/>
    </w:rPr>
  </w:style>
  <w:style w:type="paragraph" w:customStyle="1" w:styleId="26">
    <w:name w:val="图表标题"/>
    <w:basedOn w:val="1"/>
    <w:qFormat/>
    <w:uiPriority w:val="0"/>
    <w:pPr>
      <w:ind w:firstLine="0" w:firstLineChars="0"/>
      <w:jc w:val="center"/>
    </w:pPr>
    <w:rPr>
      <w:b/>
      <w:bCs/>
      <w:snapToGrid w:val="0"/>
    </w:rPr>
  </w:style>
  <w:style w:type="paragraph" w:customStyle="1" w:styleId="27">
    <w:name w:val="表格正文"/>
    <w:basedOn w:val="8"/>
    <w:qFormat/>
    <w:uiPriority w:val="0"/>
    <w:pPr>
      <w:autoSpaceDE w:val="0"/>
      <w:autoSpaceDN w:val="0"/>
      <w:spacing w:line="240" w:lineRule="auto"/>
      <w:ind w:firstLine="0" w:firstLineChars="0"/>
      <w:jc w:val="center"/>
      <w:textAlignment w:val="bottom"/>
    </w:pPr>
    <w:rPr>
      <w:rFonts w:ascii="Times New Roman" w:hAnsi="Times New Roman"/>
      <w:kern w:val="0"/>
      <w:sz w:val="21"/>
    </w:rPr>
  </w:style>
  <w:style w:type="paragraph" w:customStyle="1" w:styleId="28">
    <w:name w:val="A标准格式"/>
    <w:basedOn w:val="1"/>
    <w:qFormat/>
    <w:uiPriority w:val="99"/>
    <w:pPr>
      <w:widowControl w:val="0"/>
      <w:spacing w:line="440" w:lineRule="exact"/>
      <w:ind w:firstLine="480"/>
      <w:jc w:val="both"/>
    </w:pPr>
    <w:rPr>
      <w:rFonts w:ascii="Calibri" w:hAnsi="Calibri" w:eastAsia="宋体" w:cs="Times New Roman"/>
      <w:kern w:val="2"/>
    </w:rPr>
  </w:style>
  <w:style w:type="paragraph" w:customStyle="1" w:styleId="29">
    <w:name w:val="Table Paragraph"/>
    <w:basedOn w:val="1"/>
    <w:unhideWhenUsed/>
    <w:qFormat/>
    <w:uiPriority w:val="1"/>
    <w:pPr>
      <w:autoSpaceDE w:val="0"/>
      <w:autoSpaceDN w:val="0"/>
      <w:adjustRightInd w:val="0"/>
      <w:spacing w:beforeLines="0" w:afterLines="0"/>
      <w:jc w:val="left"/>
    </w:pPr>
    <w:rPr>
      <w:rFonts w:hint="default" w:ascii="Times New Roman" w:hAnsi="Times New Roman"/>
      <w:kern w:val="0"/>
      <w:sz w:val="24"/>
      <w:szCs w:val="24"/>
    </w:rPr>
  </w:style>
  <w:style w:type="paragraph" w:customStyle="1" w:styleId="30">
    <w:name w:val="表格内容自定"/>
    <w:basedOn w:val="1"/>
    <w:unhideWhenUsed/>
    <w:qFormat/>
    <w:uiPriority w:val="0"/>
    <w:pPr>
      <w:spacing w:beforeLines="0" w:afterLines="0" w:line="280" w:lineRule="exact"/>
      <w:jc w:val="center"/>
    </w:pPr>
    <w:rPr>
      <w:rFonts w:hint="default"/>
      <w:kern w:val="0"/>
      <w:sz w:val="18"/>
      <w:szCs w:val="20"/>
    </w:rPr>
  </w:style>
  <w:style w:type="paragraph" w:customStyle="1" w:styleId="31">
    <w:name w:val="wg"/>
    <w:basedOn w:val="1"/>
    <w:unhideWhenUsed/>
    <w:qFormat/>
    <w:uiPriority w:val="0"/>
    <w:pPr>
      <w:spacing w:beforeLines="0" w:afterLines="0"/>
    </w:pPr>
    <w:rPr>
      <w:rFonts w:hint="default"/>
      <w:sz w:val="28"/>
      <w:szCs w:val="22"/>
    </w:rPr>
  </w:style>
  <w:style w:type="paragraph" w:customStyle="1" w:styleId="32">
    <w:name w:val="111正文"/>
    <w:basedOn w:val="1"/>
    <w:qFormat/>
    <w:uiPriority w:val="0"/>
    <w:pPr>
      <w:tabs>
        <w:tab w:val="left" w:pos="600"/>
      </w:tabs>
      <w:adjustRightInd/>
      <w:snapToGrid/>
      <w:spacing w:line="360" w:lineRule="auto"/>
      <w:ind w:firstLine="200" w:firstLineChars="200"/>
    </w:pPr>
    <w:rPr>
      <w:rFonts w:ascii="Times New Roman" w:eastAsia="宋体"/>
      <w:sz w:val="24"/>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627</Words>
  <Characters>751</Characters>
  <Lines>0</Lines>
  <Paragraphs>0</Paragraphs>
  <TotalTime>4</TotalTime>
  <ScaleCrop>false</ScaleCrop>
  <LinksUpToDate>false</LinksUpToDate>
  <CharactersWithSpaces>756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2023-11-10T00:43:00Z</dcterms:created>
  <dc:creator>杨</dc:creator>
  <cp:lastModifiedBy>lucy</cp:lastModifiedBy>
  <dcterms:modified xsi:type="dcterms:W3CDTF">2026-06-18T02:58:17Z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B79482565A734F6A88E523C214BA0AED_13</vt:lpwstr>
  </property>
  <property fmtid="{D5CDD505-2E9C-101B-9397-08002B2CF9AE}" pid="4" name="KSOTemplateDocerSaveRecord">
    <vt:lpwstr>eyJoZGlkIjoiMjc5MzBjMzRhZmY4ZjBiNTUwOGE3MTIwOGM3NTk1MWQiLCJ1c2VySWQiOiIyNjU5NjEyMSJ9</vt:lpwstr>
  </property>
</Properties>
</file>